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D1D37" w14:textId="77777777" w:rsidR="00767026" w:rsidRDefault="00767026" w:rsidP="00767026">
      <w:pPr>
        <w:pStyle w:val="Default"/>
        <w:jc w:val="center"/>
      </w:pPr>
    </w:p>
    <w:p w14:paraId="6F169DE5" w14:textId="77777777" w:rsidR="00767026" w:rsidRDefault="00767026" w:rsidP="00767026">
      <w:pPr>
        <w:pStyle w:val="Default"/>
        <w:jc w:val="center"/>
      </w:pPr>
    </w:p>
    <w:p w14:paraId="51B44F01" w14:textId="77777777" w:rsidR="00767026" w:rsidRDefault="00767026" w:rsidP="00767026">
      <w:pPr>
        <w:pStyle w:val="Default"/>
        <w:jc w:val="center"/>
      </w:pPr>
    </w:p>
    <w:p w14:paraId="0D47BA19" w14:textId="77777777" w:rsidR="00767026" w:rsidRDefault="00767026" w:rsidP="00767026">
      <w:pPr>
        <w:pStyle w:val="Default"/>
        <w:jc w:val="center"/>
      </w:pPr>
    </w:p>
    <w:p w14:paraId="4066BDFC" w14:textId="77777777" w:rsidR="00767026" w:rsidRDefault="00767026" w:rsidP="00767026">
      <w:pPr>
        <w:pStyle w:val="Default"/>
        <w:jc w:val="center"/>
      </w:pPr>
    </w:p>
    <w:p w14:paraId="40935226" w14:textId="77777777" w:rsidR="00767026" w:rsidRDefault="00767026" w:rsidP="00767026">
      <w:pPr>
        <w:pStyle w:val="Default"/>
        <w:jc w:val="center"/>
      </w:pPr>
    </w:p>
    <w:p w14:paraId="6EC36154" w14:textId="77777777" w:rsidR="00767026" w:rsidRDefault="00767026" w:rsidP="00767026">
      <w:pPr>
        <w:pStyle w:val="Default"/>
        <w:jc w:val="center"/>
      </w:pPr>
    </w:p>
    <w:p w14:paraId="5879D870" w14:textId="77777777" w:rsidR="00767026" w:rsidRDefault="00767026" w:rsidP="00767026">
      <w:pPr>
        <w:pStyle w:val="Default"/>
        <w:jc w:val="center"/>
      </w:pPr>
    </w:p>
    <w:p w14:paraId="55712384" w14:textId="77777777" w:rsidR="00767026" w:rsidRDefault="00767026" w:rsidP="00767026">
      <w:pPr>
        <w:pStyle w:val="Default"/>
        <w:jc w:val="center"/>
      </w:pPr>
    </w:p>
    <w:p w14:paraId="706C6F31" w14:textId="77777777" w:rsidR="00767026" w:rsidRDefault="00767026" w:rsidP="00767026">
      <w:pPr>
        <w:pStyle w:val="Default"/>
        <w:jc w:val="center"/>
      </w:pPr>
    </w:p>
    <w:p w14:paraId="0AF2AEC1" w14:textId="77777777" w:rsidR="00767026" w:rsidRDefault="00767026" w:rsidP="00767026">
      <w:pPr>
        <w:pStyle w:val="Default"/>
        <w:jc w:val="center"/>
      </w:pPr>
    </w:p>
    <w:p w14:paraId="1B26D0A5" w14:textId="77777777" w:rsidR="00767026" w:rsidRDefault="00767026" w:rsidP="00767026">
      <w:pPr>
        <w:pStyle w:val="Default"/>
        <w:jc w:val="center"/>
      </w:pPr>
    </w:p>
    <w:p w14:paraId="3B1F1C10" w14:textId="77777777" w:rsidR="00767026" w:rsidRDefault="00767026" w:rsidP="00767026">
      <w:pPr>
        <w:pStyle w:val="Default"/>
        <w:jc w:val="center"/>
      </w:pPr>
    </w:p>
    <w:p w14:paraId="33846EA6" w14:textId="77777777" w:rsidR="00767026" w:rsidRDefault="00767026" w:rsidP="00767026">
      <w:pPr>
        <w:pStyle w:val="Default"/>
        <w:jc w:val="center"/>
      </w:pPr>
    </w:p>
    <w:p w14:paraId="7A95B22A" w14:textId="77777777" w:rsidR="00767026" w:rsidRDefault="00767026" w:rsidP="00767026">
      <w:pPr>
        <w:pStyle w:val="Default"/>
        <w:jc w:val="center"/>
      </w:pPr>
    </w:p>
    <w:p w14:paraId="5BE0E99F" w14:textId="77777777" w:rsidR="00767026" w:rsidRDefault="00767026" w:rsidP="00767026">
      <w:pPr>
        <w:pStyle w:val="Default"/>
        <w:jc w:val="center"/>
      </w:pPr>
    </w:p>
    <w:p w14:paraId="5E6F560C" w14:textId="77777777" w:rsidR="00767026" w:rsidRDefault="00767026" w:rsidP="00767026">
      <w:pPr>
        <w:pStyle w:val="Default"/>
        <w:jc w:val="center"/>
      </w:pPr>
    </w:p>
    <w:p w14:paraId="7044E9AA" w14:textId="77777777" w:rsidR="00767026" w:rsidRDefault="00767026" w:rsidP="00767026">
      <w:pPr>
        <w:pStyle w:val="Default"/>
        <w:jc w:val="center"/>
      </w:pPr>
    </w:p>
    <w:p w14:paraId="1EC520C3" w14:textId="77777777" w:rsidR="00767026" w:rsidRDefault="00767026" w:rsidP="00767026">
      <w:pPr>
        <w:pStyle w:val="Default"/>
        <w:jc w:val="center"/>
      </w:pPr>
    </w:p>
    <w:p w14:paraId="13BB17AB" w14:textId="77777777" w:rsidR="00767026" w:rsidRDefault="00767026" w:rsidP="00767026">
      <w:pPr>
        <w:pStyle w:val="Default"/>
        <w:jc w:val="center"/>
      </w:pPr>
    </w:p>
    <w:p w14:paraId="0B87B2A6" w14:textId="77777777" w:rsidR="00767026" w:rsidRDefault="00767026" w:rsidP="00767026">
      <w:pPr>
        <w:pStyle w:val="Default"/>
        <w:jc w:val="center"/>
      </w:pPr>
    </w:p>
    <w:p w14:paraId="6FDD2E45" w14:textId="77777777" w:rsidR="00767026" w:rsidRDefault="00767026" w:rsidP="00767026">
      <w:pPr>
        <w:pStyle w:val="Default"/>
        <w:jc w:val="center"/>
      </w:pPr>
    </w:p>
    <w:p w14:paraId="1344EE1A" w14:textId="77777777" w:rsidR="00767026" w:rsidRDefault="00767026" w:rsidP="00767026">
      <w:pPr>
        <w:pStyle w:val="Default"/>
        <w:jc w:val="center"/>
        <w:rPr>
          <w:rStyle w:val="normaltextrun"/>
          <w:rFonts w:ascii="Arial Narrow" w:eastAsia="Times New Roman" w:hAnsi="Arial Narrow" w:cs="Segoe UI"/>
          <w:b/>
          <w:bCs/>
          <w:color w:val="auto"/>
          <w:sz w:val="22"/>
          <w:szCs w:val="22"/>
          <w:lang w:eastAsia="tr-TR"/>
        </w:rPr>
      </w:pPr>
      <w:r w:rsidRPr="007E3DCE">
        <w:rPr>
          <w:rStyle w:val="normaltextrun"/>
          <w:rFonts w:ascii="Arial Narrow" w:eastAsia="Times New Roman" w:hAnsi="Arial Narrow" w:cs="Segoe UI"/>
          <w:b/>
          <w:bCs/>
          <w:color w:val="auto"/>
          <w:sz w:val="22"/>
          <w:szCs w:val="22"/>
          <w:lang w:eastAsia="tr-TR"/>
        </w:rPr>
        <w:t xml:space="preserve">HEDEF PORTFÖY MODEL HİSSE SENEDİ </w:t>
      </w:r>
    </w:p>
    <w:p w14:paraId="566F179D" w14:textId="77777777" w:rsidR="00767026" w:rsidRDefault="00767026" w:rsidP="00767026">
      <w:pPr>
        <w:pStyle w:val="Default"/>
        <w:jc w:val="center"/>
        <w:rPr>
          <w:rStyle w:val="normaltextrun"/>
          <w:rFonts w:ascii="Arial Narrow" w:eastAsia="Times New Roman" w:hAnsi="Arial Narrow" w:cs="Segoe UI"/>
          <w:b/>
          <w:bCs/>
          <w:color w:val="auto"/>
          <w:sz w:val="22"/>
          <w:szCs w:val="22"/>
          <w:lang w:eastAsia="tr-TR"/>
        </w:rPr>
      </w:pPr>
      <w:r w:rsidRPr="007E3DCE">
        <w:rPr>
          <w:rStyle w:val="normaltextrun"/>
          <w:rFonts w:ascii="Arial Narrow" w:eastAsia="Times New Roman" w:hAnsi="Arial Narrow" w:cs="Segoe UI"/>
          <w:b/>
          <w:bCs/>
          <w:color w:val="auto"/>
          <w:sz w:val="22"/>
          <w:szCs w:val="22"/>
          <w:lang w:eastAsia="tr-TR"/>
        </w:rPr>
        <w:t>SERBEST (TL) FON (HİSSE SENEDİ YOĞUN FON)</w:t>
      </w:r>
    </w:p>
    <w:p w14:paraId="7EE9B667" w14:textId="77777777" w:rsidR="00767026" w:rsidRPr="00700FDE" w:rsidRDefault="00767026" w:rsidP="00767026">
      <w:pPr>
        <w:pStyle w:val="Default"/>
        <w:jc w:val="center"/>
        <w:rPr>
          <w:rFonts w:ascii="Arial Narrow" w:hAnsi="Arial Narrow" w:cstheme="minorBidi"/>
          <w:color w:val="auto"/>
          <w:sz w:val="22"/>
          <w:szCs w:val="22"/>
        </w:rPr>
      </w:pPr>
      <w:r>
        <w:rPr>
          <w:rFonts w:ascii="Arial Narrow" w:hAnsi="Arial Narrow" w:cstheme="minorBidi"/>
          <w:color w:val="auto"/>
          <w:sz w:val="22"/>
          <w:szCs w:val="22"/>
        </w:rPr>
        <w:t>30 HAZİRAN</w:t>
      </w:r>
      <w:r w:rsidRPr="00700FDE">
        <w:rPr>
          <w:rFonts w:ascii="Arial Narrow" w:hAnsi="Arial Narrow" w:cstheme="minorBidi"/>
          <w:color w:val="auto"/>
          <w:sz w:val="22"/>
          <w:szCs w:val="22"/>
        </w:rPr>
        <w:t xml:space="preserve"> 202</w:t>
      </w:r>
      <w:r>
        <w:rPr>
          <w:rFonts w:ascii="Arial Narrow" w:hAnsi="Arial Narrow" w:cstheme="minorBidi"/>
          <w:color w:val="auto"/>
          <w:sz w:val="22"/>
          <w:szCs w:val="22"/>
        </w:rPr>
        <w:t>4</w:t>
      </w:r>
      <w:r w:rsidRPr="00700FDE">
        <w:rPr>
          <w:rFonts w:ascii="Arial Narrow" w:hAnsi="Arial Narrow" w:cstheme="minorBidi"/>
          <w:color w:val="auto"/>
          <w:sz w:val="22"/>
          <w:szCs w:val="22"/>
        </w:rPr>
        <w:t xml:space="preserve"> TARİHİ İTİBARIYLA</w:t>
      </w:r>
    </w:p>
    <w:p w14:paraId="67077B7C" w14:textId="77777777" w:rsidR="00767026" w:rsidRPr="00700FDE" w:rsidRDefault="00767026" w:rsidP="00767026">
      <w:pPr>
        <w:pStyle w:val="Default"/>
        <w:jc w:val="center"/>
        <w:rPr>
          <w:rFonts w:ascii="Arial Narrow" w:hAnsi="Arial Narrow" w:cstheme="minorBidi"/>
          <w:color w:val="auto"/>
          <w:sz w:val="22"/>
          <w:szCs w:val="22"/>
        </w:rPr>
      </w:pPr>
      <w:r w:rsidRPr="00700FDE">
        <w:rPr>
          <w:rFonts w:ascii="Arial Narrow" w:hAnsi="Arial Narrow" w:cstheme="minorBidi"/>
          <w:color w:val="auto"/>
          <w:sz w:val="22"/>
          <w:szCs w:val="22"/>
        </w:rPr>
        <w:t>YATIRIM PERFORMANSI KONUSUNDA</w:t>
      </w:r>
    </w:p>
    <w:p w14:paraId="25193DCF" w14:textId="77777777" w:rsidR="00767026" w:rsidRPr="00700FDE" w:rsidRDefault="00767026" w:rsidP="00767026">
      <w:pPr>
        <w:tabs>
          <w:tab w:val="left" w:pos="2730"/>
        </w:tabs>
        <w:jc w:val="center"/>
        <w:rPr>
          <w:rFonts w:ascii="Arial Narrow" w:hAnsi="Arial Narrow"/>
        </w:rPr>
      </w:pPr>
      <w:r w:rsidRPr="00700FDE">
        <w:rPr>
          <w:rFonts w:ascii="Arial Narrow" w:hAnsi="Arial Narrow"/>
        </w:rPr>
        <w:t>KAMUYA AÇIKLANAN BİLGİLERE İLİŞKİN RAPOR</w:t>
      </w:r>
    </w:p>
    <w:p w14:paraId="5464E80B" w14:textId="77777777" w:rsidR="00767026" w:rsidRDefault="00767026" w:rsidP="00767026"/>
    <w:p w14:paraId="6D0D3C1D" w14:textId="77777777" w:rsidR="00767026" w:rsidRDefault="00767026" w:rsidP="006B6E11">
      <w:pPr>
        <w:pStyle w:val="Balk1"/>
        <w:rPr>
          <w:rFonts w:ascii="Times New Roman" w:hAnsi="Times New Roman" w:cs="Times New Roman"/>
        </w:rPr>
        <w:sectPr w:rsidR="00767026" w:rsidSect="008A60CB">
          <w:headerReference w:type="default" r:id="rId9"/>
          <w:pgSz w:w="11906" w:h="16838"/>
          <w:pgMar w:top="1417" w:right="1417" w:bottom="1417" w:left="1417" w:header="708" w:footer="708" w:gutter="0"/>
          <w:cols w:space="708"/>
          <w:titlePg/>
          <w:docGrid w:linePitch="360"/>
        </w:sectPr>
      </w:pPr>
    </w:p>
    <w:p w14:paraId="0D7CBC7B" w14:textId="77777777" w:rsidR="00767026" w:rsidRDefault="00767026" w:rsidP="00767026">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05577C53" w14:textId="77777777" w:rsidR="00767026" w:rsidRDefault="00767026" w:rsidP="00767026">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08493421" w14:textId="77777777" w:rsidR="00767026" w:rsidRDefault="00767026" w:rsidP="00767026">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7B617D66" w14:textId="77777777" w:rsidR="00767026" w:rsidRDefault="00767026" w:rsidP="00767026">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6614A0B9" w14:textId="77777777" w:rsidR="00767026" w:rsidRDefault="00767026" w:rsidP="00767026">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6B418EA8" w14:textId="77777777" w:rsidR="00767026" w:rsidRDefault="00767026" w:rsidP="00767026">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r w:rsidRPr="007E3DCE">
        <w:rPr>
          <w:rStyle w:val="normaltextrun"/>
          <w:rFonts w:ascii="Arial Narrow" w:hAnsi="Arial Narrow" w:cs="Segoe UI"/>
          <w:b/>
          <w:bCs/>
          <w:sz w:val="22"/>
          <w:szCs w:val="22"/>
        </w:rPr>
        <w:t>HEDEF PORTFÖY MODEL HİSSE SENEDİ SERBEST (TL) FON (HİSSE SENEDİ YOĞUN FON)</w:t>
      </w:r>
    </w:p>
    <w:p w14:paraId="4D0ABCF0" w14:textId="77777777" w:rsidR="00767026" w:rsidRDefault="00767026" w:rsidP="00767026">
      <w:pPr>
        <w:pStyle w:val="paragraph"/>
        <w:spacing w:before="0" w:beforeAutospacing="0" w:after="0" w:afterAutospacing="0"/>
        <w:ind w:right="-1230"/>
        <w:jc w:val="center"/>
        <w:textAlignment w:val="baseline"/>
        <w:rPr>
          <w:rFonts w:ascii="Segoe UI" w:hAnsi="Segoe UI" w:cs="Segoe UI"/>
          <w:sz w:val="18"/>
          <w:szCs w:val="18"/>
        </w:rPr>
      </w:pPr>
      <w:r>
        <w:rPr>
          <w:rStyle w:val="eop"/>
          <w:rFonts w:ascii="Arial Narrow" w:hAnsi="Arial Narrow" w:cs="Segoe UI"/>
          <w:sz w:val="22"/>
          <w:szCs w:val="22"/>
        </w:rPr>
        <w:t> </w:t>
      </w:r>
    </w:p>
    <w:p w14:paraId="2FFF3169" w14:textId="77777777" w:rsidR="00767026" w:rsidRDefault="00767026" w:rsidP="00767026">
      <w:pPr>
        <w:pStyle w:val="paragraph"/>
        <w:spacing w:before="0" w:beforeAutospacing="0" w:after="0" w:afterAutospacing="0"/>
        <w:ind w:right="-15"/>
        <w:jc w:val="center"/>
        <w:textAlignment w:val="baseline"/>
        <w:rPr>
          <w:rFonts w:ascii="Segoe UI" w:hAnsi="Segoe UI" w:cs="Segoe UI"/>
          <w:sz w:val="18"/>
          <w:szCs w:val="18"/>
        </w:rPr>
      </w:pPr>
      <w:r>
        <w:rPr>
          <w:rStyle w:val="normaltextrun"/>
          <w:rFonts w:ascii="Arial Narrow" w:hAnsi="Arial Narrow" w:cs="Segoe UI"/>
          <w:b/>
          <w:bCs/>
          <w:sz w:val="22"/>
          <w:szCs w:val="22"/>
        </w:rPr>
        <w:t>Yatırım Performansı Konusunda Kamuya Açıklanan Bilgilere İlişkin Rapor</w:t>
      </w:r>
      <w:r>
        <w:rPr>
          <w:rStyle w:val="eop"/>
          <w:rFonts w:ascii="Arial Narrow" w:hAnsi="Arial Narrow" w:cs="Segoe UI"/>
          <w:sz w:val="22"/>
          <w:szCs w:val="22"/>
        </w:rPr>
        <w:t> </w:t>
      </w:r>
    </w:p>
    <w:p w14:paraId="6C174409" w14:textId="77777777" w:rsidR="00767026" w:rsidRDefault="00767026" w:rsidP="0076702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539A04A1" w14:textId="77777777" w:rsidR="00767026" w:rsidRDefault="00767026" w:rsidP="00767026">
      <w:pPr>
        <w:pStyle w:val="paragraph"/>
        <w:spacing w:before="0" w:beforeAutospacing="0" w:after="0" w:afterAutospacing="0"/>
        <w:jc w:val="both"/>
        <w:textAlignment w:val="baseline"/>
        <w:rPr>
          <w:rFonts w:ascii="Segoe UI" w:hAnsi="Segoe UI" w:cs="Segoe UI"/>
          <w:sz w:val="18"/>
          <w:szCs w:val="18"/>
        </w:rPr>
      </w:pPr>
      <w:r w:rsidRPr="007E3DCE">
        <w:rPr>
          <w:rStyle w:val="normaltextrun"/>
          <w:rFonts w:ascii="Arial Narrow" w:hAnsi="Arial Narrow" w:cs="Segoe UI"/>
          <w:sz w:val="22"/>
          <w:szCs w:val="22"/>
        </w:rPr>
        <w:t>Hedef Portföy Model Hisse Senedi Serbest (T</w:t>
      </w:r>
      <w:r>
        <w:rPr>
          <w:rStyle w:val="normaltextrun"/>
          <w:rFonts w:ascii="Arial Narrow" w:hAnsi="Arial Narrow" w:cs="Segoe UI"/>
          <w:sz w:val="22"/>
          <w:szCs w:val="22"/>
        </w:rPr>
        <w:t>L</w:t>
      </w:r>
      <w:r w:rsidRPr="007E3DCE">
        <w:rPr>
          <w:rStyle w:val="normaltextrun"/>
          <w:rFonts w:ascii="Arial Narrow" w:hAnsi="Arial Narrow" w:cs="Segoe UI"/>
          <w:sz w:val="22"/>
          <w:szCs w:val="22"/>
        </w:rPr>
        <w:t>) Fon (Hisse Senedi Yoğun Fon)</w:t>
      </w:r>
      <w:r>
        <w:rPr>
          <w:rStyle w:val="normaltextrun"/>
          <w:rFonts w:ascii="Arial Narrow" w:hAnsi="Arial Narrow" w:cs="Segoe UI"/>
          <w:sz w:val="22"/>
          <w:szCs w:val="22"/>
        </w:rPr>
        <w:t>’un (“Fon”) 01 Ocak – 30 Haziran 2024 dönemine ait ekteki performans sunuş raporunu Sermaye Piyasa Kurulu’nun VII-128.5 sayılı bireysel Portföylerin ve Kolektif Yatırım Kuruluşların Performans Sunumuna, Performansa Dayalı Ücretlendirmesine Kolektif Yatırım Kuruluşlarını Notlandırma ve Sıralama Faaliyetlerine İlişkin Esaslar Hakkında Tebliğ’inde (“Tebliğ”) yer alan performans sunum standartlarına ilişkin düzenlemeleri çerçevesinde incelemiş bulunuyoruz.</w:t>
      </w:r>
      <w:r>
        <w:rPr>
          <w:rStyle w:val="eop"/>
          <w:rFonts w:ascii="Arial Narrow" w:hAnsi="Arial Narrow" w:cs="Segoe UI"/>
          <w:sz w:val="22"/>
          <w:szCs w:val="22"/>
        </w:rPr>
        <w:t> </w:t>
      </w:r>
    </w:p>
    <w:p w14:paraId="56B07BF7" w14:textId="77777777" w:rsidR="00767026" w:rsidRDefault="00767026" w:rsidP="0076702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4B9086A6" w14:textId="77777777" w:rsidR="00767026" w:rsidRDefault="00767026" w:rsidP="00767026">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İncelememiz sadece yukarıda belirtilen döneme ait performans sunumunu kapsamaktadır. Bunun dışında kalan dönemler için inceleme yapılmamış ve görüş oluşturulmamıştır.</w:t>
      </w:r>
      <w:r>
        <w:rPr>
          <w:rStyle w:val="eop"/>
          <w:rFonts w:ascii="Arial Narrow" w:hAnsi="Arial Narrow" w:cs="Segoe UI"/>
          <w:sz w:val="22"/>
          <w:szCs w:val="22"/>
        </w:rPr>
        <w:t> </w:t>
      </w:r>
    </w:p>
    <w:p w14:paraId="028A78EF" w14:textId="77777777" w:rsidR="00767026" w:rsidRDefault="00767026" w:rsidP="0076702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154E0826" w14:textId="77777777" w:rsidR="00767026" w:rsidRDefault="00767026" w:rsidP="00767026">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İncelememiz sonucunda Fon’un 01 Ocak – 30 Haziran 2024 dönemine ait performans sunum raporunun Tebliğ’de belirtilen performans sunum standartlarına ilişkin düzenlemelere uygun hazırlanmadığı ile doğru ve gerçeğe uygun bir görünüm sağlamadığı kanaatine varmamıza sebep olacak herhangi bir tespitimiz bulunmamaktadır.</w:t>
      </w:r>
      <w:r>
        <w:rPr>
          <w:rStyle w:val="eop"/>
          <w:rFonts w:ascii="Arial Narrow" w:hAnsi="Arial Narrow" w:cs="Segoe UI"/>
          <w:sz w:val="22"/>
          <w:szCs w:val="22"/>
        </w:rPr>
        <w:t> </w:t>
      </w:r>
    </w:p>
    <w:p w14:paraId="6D9B4A6F" w14:textId="77777777" w:rsidR="00767026" w:rsidRDefault="00767026" w:rsidP="0076702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798370BE" w14:textId="77777777" w:rsidR="00767026" w:rsidRDefault="00767026" w:rsidP="00767026">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Diğer Husus</w:t>
      </w:r>
      <w:r>
        <w:rPr>
          <w:rStyle w:val="eop"/>
          <w:rFonts w:ascii="Arial Narrow" w:hAnsi="Arial Narrow" w:cs="Segoe UI"/>
          <w:sz w:val="22"/>
          <w:szCs w:val="22"/>
        </w:rPr>
        <w:t> </w:t>
      </w:r>
    </w:p>
    <w:p w14:paraId="428922EF" w14:textId="77777777" w:rsidR="00767026" w:rsidRDefault="00767026" w:rsidP="00767026">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p w14:paraId="220DF2AF" w14:textId="77777777" w:rsidR="00767026" w:rsidRDefault="00767026" w:rsidP="00767026">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01 Ocak – 30 Haziran 2024 dönemine ait performans sunum raporunda sunulan ve performans bilgisi hesaplamalarına dayanak teşkil eden finansal bilgiler Türkiye Bağımsız Denetim Standartları’na (“BDS”) uygun olarak tam veya sınırlı kapsamlı bağımsız denetime tabi tutulmamıştır</w:t>
      </w:r>
      <w:r>
        <w:rPr>
          <w:rStyle w:val="normaltextrun"/>
          <w:rFonts w:ascii="Calibri" w:hAnsi="Calibri" w:cs="Calibri"/>
          <w:sz w:val="22"/>
          <w:szCs w:val="22"/>
        </w:rPr>
        <w:t>.</w:t>
      </w:r>
      <w:r>
        <w:rPr>
          <w:rStyle w:val="eop"/>
          <w:rFonts w:ascii="Calibri" w:hAnsi="Calibri" w:cs="Calibri"/>
          <w:sz w:val="22"/>
          <w:szCs w:val="22"/>
        </w:rPr>
        <w:t> </w:t>
      </w:r>
    </w:p>
    <w:p w14:paraId="0C23DE79" w14:textId="77777777" w:rsidR="00767026" w:rsidRDefault="00767026" w:rsidP="0076702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571A7297" w14:textId="77777777" w:rsidR="00767026" w:rsidRDefault="00767026" w:rsidP="0076702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2CAAF242" w14:textId="77777777" w:rsidR="00767026" w:rsidRDefault="00767026" w:rsidP="00767026">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HSY Danışmanlık ve Bağımsız Denetim A.Ş.</w:t>
      </w:r>
      <w:r>
        <w:rPr>
          <w:rStyle w:val="eop"/>
          <w:rFonts w:ascii="Arial Narrow" w:hAnsi="Arial Narrow" w:cs="Segoe UI"/>
          <w:sz w:val="22"/>
          <w:szCs w:val="22"/>
        </w:rPr>
        <w:t> </w:t>
      </w:r>
    </w:p>
    <w:p w14:paraId="351C9AEE" w14:textId="77777777" w:rsidR="00767026" w:rsidRDefault="00767026" w:rsidP="00767026">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Member of Crowe Global</w:t>
      </w:r>
      <w:r>
        <w:rPr>
          <w:rStyle w:val="eop"/>
          <w:rFonts w:ascii="Arial Narrow" w:hAnsi="Arial Narrow" w:cs="Segoe UI"/>
          <w:sz w:val="22"/>
          <w:szCs w:val="22"/>
        </w:rPr>
        <w:t> </w:t>
      </w:r>
    </w:p>
    <w:p w14:paraId="257064D8" w14:textId="77777777" w:rsidR="00767026" w:rsidRDefault="00767026" w:rsidP="0076702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63D977C7" w14:textId="77777777" w:rsidR="00767026" w:rsidRDefault="00767026" w:rsidP="0076702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28D4E7CF" w14:textId="77777777" w:rsidR="00767026" w:rsidRDefault="00767026" w:rsidP="0076702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0ACDB3DD" w14:textId="77777777" w:rsidR="00767026" w:rsidRDefault="00767026" w:rsidP="0076702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1079D997" w14:textId="77777777" w:rsidR="00767026" w:rsidRDefault="00767026" w:rsidP="0076702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2D9D2117" w14:textId="77777777" w:rsidR="00767026" w:rsidRDefault="00767026" w:rsidP="0076702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000B41C8" w14:textId="77777777" w:rsidR="00767026" w:rsidRDefault="00767026" w:rsidP="00767026">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Özkan Cengiz</w:t>
      </w:r>
      <w:r>
        <w:rPr>
          <w:rStyle w:val="eop"/>
          <w:rFonts w:ascii="Arial Narrow" w:hAnsi="Arial Narrow" w:cs="Segoe UI"/>
          <w:sz w:val="22"/>
          <w:szCs w:val="22"/>
        </w:rPr>
        <w:t> </w:t>
      </w:r>
    </w:p>
    <w:p w14:paraId="4AE741A4" w14:textId="77777777" w:rsidR="00767026" w:rsidRDefault="00767026" w:rsidP="00767026">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Sorumlu Ortak Baş Denetçi, SMMM</w:t>
      </w:r>
      <w:r>
        <w:rPr>
          <w:rStyle w:val="eop"/>
          <w:rFonts w:ascii="Arial Narrow" w:hAnsi="Arial Narrow" w:cs="Segoe UI"/>
          <w:sz w:val="22"/>
          <w:szCs w:val="22"/>
        </w:rPr>
        <w:t> </w:t>
      </w:r>
    </w:p>
    <w:p w14:paraId="24CDFBF6" w14:textId="77777777" w:rsidR="00767026" w:rsidRDefault="00767026" w:rsidP="0076702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0D47C325" w14:textId="77777777" w:rsidR="00767026" w:rsidRDefault="00767026" w:rsidP="00767026">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 xml:space="preserve">İstanbul, </w:t>
      </w:r>
      <w:r>
        <w:rPr>
          <w:rStyle w:val="normaltextrun"/>
          <w:rFonts w:ascii="Arial Narrow" w:hAnsi="Arial Narrow" w:cs="Segoe UI"/>
          <w:sz w:val="22"/>
          <w:szCs w:val="22"/>
          <w:shd w:val="clear" w:color="auto" w:fill="FFFF00"/>
        </w:rPr>
        <w:t>24</w:t>
      </w:r>
      <w:r>
        <w:rPr>
          <w:rStyle w:val="normaltextrun"/>
          <w:rFonts w:ascii="Arial Narrow" w:hAnsi="Arial Narrow" w:cs="Segoe UI"/>
          <w:sz w:val="22"/>
          <w:szCs w:val="22"/>
        </w:rPr>
        <w:t xml:space="preserve"> Temmuz 2024</w:t>
      </w:r>
      <w:r>
        <w:rPr>
          <w:rStyle w:val="eop"/>
          <w:rFonts w:ascii="Arial Narrow" w:hAnsi="Arial Narrow" w:cs="Segoe UI"/>
          <w:sz w:val="22"/>
          <w:szCs w:val="22"/>
        </w:rPr>
        <w:t> </w:t>
      </w:r>
    </w:p>
    <w:p w14:paraId="2A47CEA7" w14:textId="77777777" w:rsidR="00767026" w:rsidRDefault="00767026" w:rsidP="006B6E11">
      <w:pPr>
        <w:pStyle w:val="Balk1"/>
        <w:rPr>
          <w:rFonts w:ascii="Times New Roman" w:hAnsi="Times New Roman" w:cs="Times New Roman"/>
        </w:rPr>
        <w:sectPr w:rsidR="00767026" w:rsidSect="008A60CB">
          <w:headerReference w:type="first" r:id="rId10"/>
          <w:pgSz w:w="11906" w:h="16838"/>
          <w:pgMar w:top="1417" w:right="1417" w:bottom="1417" w:left="1417" w:header="708" w:footer="708" w:gutter="0"/>
          <w:cols w:space="708"/>
          <w:titlePg/>
          <w:docGrid w:linePitch="360"/>
        </w:sectPr>
      </w:pPr>
    </w:p>
    <w:p w14:paraId="40BF73F2" w14:textId="2FC817DA" w:rsidR="004E72E0" w:rsidRPr="00C6319A" w:rsidRDefault="004E72E0" w:rsidP="006B6E11">
      <w:pPr>
        <w:pStyle w:val="Balk1"/>
        <w:rPr>
          <w:rFonts w:ascii="Times New Roman" w:hAnsi="Times New Roman" w:cs="Times New Roman"/>
        </w:rPr>
      </w:pPr>
    </w:p>
    <w:p w14:paraId="0BCFE8F4" w14:textId="77777777" w:rsidR="006C07D6" w:rsidRPr="00C6319A" w:rsidRDefault="006C07D6" w:rsidP="00621CF3">
      <w:pPr>
        <w:spacing w:after="0"/>
        <w:rPr>
          <w:rFonts w:ascii="Times New Roman" w:hAnsi="Times New Roman" w:cs="Times New Roman"/>
        </w:rPr>
      </w:pPr>
    </w:p>
    <w:p w14:paraId="42288A8B" w14:textId="77777777" w:rsidR="00032E31" w:rsidRPr="00C6319A" w:rsidRDefault="00032E31" w:rsidP="00621CF3">
      <w:pPr>
        <w:spacing w:after="0"/>
        <w:rPr>
          <w:rFonts w:ascii="Times New Roman" w:hAnsi="Times New Roman" w:cs="Times New Roman"/>
        </w:rPr>
      </w:pPr>
    </w:p>
    <w:p w14:paraId="2857CF4A" w14:textId="77777777" w:rsidR="00032E31" w:rsidRPr="00C6319A" w:rsidRDefault="00032E31" w:rsidP="00621CF3">
      <w:pPr>
        <w:spacing w:after="0"/>
        <w:rPr>
          <w:rFonts w:ascii="Times New Roman" w:hAnsi="Times New Roman" w:cs="Times New Roman"/>
        </w:rPr>
      </w:pPr>
    </w:p>
    <w:p w14:paraId="4BB806B9" w14:textId="77777777" w:rsidR="00032E31" w:rsidRPr="00C6319A" w:rsidRDefault="00032E31" w:rsidP="00621CF3">
      <w:pPr>
        <w:spacing w:after="0"/>
        <w:rPr>
          <w:rFonts w:ascii="Times New Roman" w:hAnsi="Times New Roman" w:cs="Times New Roman"/>
        </w:rPr>
      </w:pPr>
    </w:p>
    <w:p w14:paraId="6DE6D3ED" w14:textId="77777777" w:rsidR="00032E31" w:rsidRPr="00C6319A" w:rsidRDefault="00032E31" w:rsidP="00621CF3">
      <w:pPr>
        <w:spacing w:after="0"/>
        <w:rPr>
          <w:rFonts w:ascii="Times New Roman" w:hAnsi="Times New Roman" w:cs="Times New Roman"/>
        </w:rPr>
      </w:pPr>
    </w:p>
    <w:p w14:paraId="4B5D1A71" w14:textId="77777777" w:rsidR="00032E31" w:rsidRPr="00C6319A" w:rsidRDefault="00032E31" w:rsidP="00621CF3">
      <w:pPr>
        <w:spacing w:after="0"/>
        <w:rPr>
          <w:rFonts w:ascii="Times New Roman" w:hAnsi="Times New Roman" w:cs="Times New Roman"/>
        </w:rPr>
      </w:pPr>
    </w:p>
    <w:p w14:paraId="4DCC37E4" w14:textId="77777777" w:rsidR="00032E31" w:rsidRPr="00C6319A" w:rsidRDefault="00032E31" w:rsidP="00621CF3">
      <w:pPr>
        <w:spacing w:after="0"/>
        <w:rPr>
          <w:rFonts w:ascii="Times New Roman" w:hAnsi="Times New Roman" w:cs="Times New Roman"/>
        </w:rPr>
      </w:pPr>
    </w:p>
    <w:p w14:paraId="2E8913AD" w14:textId="77777777" w:rsidR="00032E31" w:rsidRPr="00C6319A" w:rsidRDefault="00032E31" w:rsidP="00621CF3">
      <w:pPr>
        <w:spacing w:after="0"/>
        <w:rPr>
          <w:rFonts w:ascii="Times New Roman" w:hAnsi="Times New Roman" w:cs="Times New Roman"/>
        </w:rPr>
      </w:pPr>
    </w:p>
    <w:p w14:paraId="5BC49243" w14:textId="77777777" w:rsidR="00032E31" w:rsidRDefault="00032E31" w:rsidP="00621CF3">
      <w:pPr>
        <w:spacing w:after="0"/>
        <w:rPr>
          <w:rFonts w:ascii="Times New Roman" w:hAnsi="Times New Roman" w:cs="Times New Roman"/>
        </w:rPr>
      </w:pPr>
    </w:p>
    <w:p w14:paraId="0B869203" w14:textId="77777777" w:rsidR="00767026" w:rsidRDefault="00767026" w:rsidP="00621CF3">
      <w:pPr>
        <w:spacing w:after="0"/>
        <w:rPr>
          <w:rFonts w:ascii="Times New Roman" w:hAnsi="Times New Roman" w:cs="Times New Roman"/>
        </w:rPr>
      </w:pPr>
    </w:p>
    <w:p w14:paraId="449C4745" w14:textId="77777777" w:rsidR="00767026" w:rsidRDefault="00767026" w:rsidP="00621CF3">
      <w:pPr>
        <w:spacing w:after="0"/>
        <w:rPr>
          <w:rFonts w:ascii="Times New Roman" w:hAnsi="Times New Roman" w:cs="Times New Roman"/>
        </w:rPr>
      </w:pPr>
    </w:p>
    <w:p w14:paraId="3A66F52A" w14:textId="77777777" w:rsidR="00767026" w:rsidRDefault="00767026" w:rsidP="00621CF3">
      <w:pPr>
        <w:spacing w:after="0"/>
        <w:rPr>
          <w:rFonts w:ascii="Times New Roman" w:hAnsi="Times New Roman" w:cs="Times New Roman"/>
        </w:rPr>
      </w:pPr>
    </w:p>
    <w:p w14:paraId="1AD81098" w14:textId="77777777" w:rsidR="00767026" w:rsidRDefault="00767026" w:rsidP="00621CF3">
      <w:pPr>
        <w:spacing w:after="0"/>
        <w:rPr>
          <w:rFonts w:ascii="Times New Roman" w:hAnsi="Times New Roman" w:cs="Times New Roman"/>
        </w:rPr>
      </w:pPr>
    </w:p>
    <w:p w14:paraId="6E0163DE" w14:textId="77777777" w:rsidR="00767026" w:rsidRPr="00C6319A" w:rsidRDefault="00767026" w:rsidP="00621CF3">
      <w:pPr>
        <w:spacing w:after="0"/>
        <w:rPr>
          <w:rFonts w:ascii="Times New Roman" w:hAnsi="Times New Roman" w:cs="Times New Roman"/>
        </w:rPr>
      </w:pPr>
    </w:p>
    <w:p w14:paraId="1F2BF9F2" w14:textId="77777777" w:rsidR="006C07D6" w:rsidRPr="00C6319A" w:rsidRDefault="006C07D6" w:rsidP="00621CF3">
      <w:pPr>
        <w:spacing w:after="0"/>
        <w:rPr>
          <w:rFonts w:ascii="Times New Roman" w:hAnsi="Times New Roman" w:cs="Times New Roman"/>
        </w:rPr>
      </w:pPr>
    </w:p>
    <w:p w14:paraId="75207813" w14:textId="77777777" w:rsidR="006C07D6" w:rsidRPr="00C6319A" w:rsidRDefault="006C07D6" w:rsidP="00621CF3">
      <w:pPr>
        <w:spacing w:after="0"/>
        <w:rPr>
          <w:rFonts w:ascii="Times New Roman" w:hAnsi="Times New Roman" w:cs="Times New Roman"/>
          <w:sz w:val="24"/>
          <w:szCs w:val="24"/>
        </w:rPr>
      </w:pPr>
    </w:p>
    <w:p w14:paraId="395CF074" w14:textId="3BC2F575" w:rsidR="00BA5438" w:rsidRPr="00BA5438" w:rsidRDefault="00BA5438" w:rsidP="00BA5438">
      <w:pPr>
        <w:spacing w:after="0" w:line="240" w:lineRule="auto"/>
        <w:jc w:val="center"/>
        <w:rPr>
          <w:rFonts w:ascii="Calibri" w:eastAsia="Times New Roman" w:hAnsi="Calibri" w:cs="Calibri"/>
          <w:b/>
          <w:bCs/>
          <w:color w:val="000000"/>
          <w:sz w:val="28"/>
          <w:szCs w:val="28"/>
          <w:lang w:eastAsia="tr-TR"/>
        </w:rPr>
      </w:pPr>
      <w:r w:rsidRPr="00BA5438">
        <w:rPr>
          <w:rFonts w:ascii="Calibri" w:eastAsia="Times New Roman" w:hAnsi="Calibri" w:cs="Calibri"/>
          <w:b/>
          <w:bCs/>
          <w:color w:val="000000"/>
          <w:sz w:val="28"/>
          <w:szCs w:val="28"/>
          <w:lang w:eastAsia="tr-TR"/>
        </w:rPr>
        <w:t xml:space="preserve">HEDEF PORTFÖY </w:t>
      </w:r>
      <w:r w:rsidR="00600C82">
        <w:rPr>
          <w:rFonts w:ascii="Calibri" w:eastAsia="Times New Roman" w:hAnsi="Calibri" w:cs="Calibri"/>
          <w:b/>
          <w:bCs/>
          <w:color w:val="000000"/>
          <w:sz w:val="28"/>
          <w:szCs w:val="28"/>
          <w:lang w:eastAsia="tr-TR"/>
        </w:rPr>
        <w:t>MODEL</w:t>
      </w:r>
      <w:r w:rsidRPr="00BA5438">
        <w:rPr>
          <w:rFonts w:ascii="Calibri" w:eastAsia="Times New Roman" w:hAnsi="Calibri" w:cs="Calibri"/>
          <w:b/>
          <w:bCs/>
          <w:color w:val="000000"/>
          <w:sz w:val="28"/>
          <w:szCs w:val="28"/>
          <w:lang w:eastAsia="tr-TR"/>
        </w:rPr>
        <w:t xml:space="preserve"> HİSSE SENEDİ SERBEST (TL) FON (HİSSE SENEDİ YOĞUN FON)</w:t>
      </w:r>
    </w:p>
    <w:p w14:paraId="41D4027C" w14:textId="77777777" w:rsidR="00621CF3" w:rsidRPr="00BA5438" w:rsidRDefault="00621CF3" w:rsidP="00621CF3">
      <w:pPr>
        <w:spacing w:after="0"/>
        <w:jc w:val="center"/>
        <w:rPr>
          <w:rFonts w:ascii="Times New Roman" w:hAnsi="Times New Roman" w:cs="Times New Roman"/>
          <w:b/>
          <w:bCs/>
          <w:sz w:val="28"/>
          <w:szCs w:val="28"/>
        </w:rPr>
      </w:pPr>
    </w:p>
    <w:p w14:paraId="7D7018FF" w14:textId="79BB89CC" w:rsidR="00621CF3" w:rsidRPr="00C6319A" w:rsidRDefault="00747044" w:rsidP="00621CF3">
      <w:pPr>
        <w:spacing w:after="0"/>
        <w:jc w:val="center"/>
        <w:rPr>
          <w:rFonts w:ascii="Times New Roman" w:hAnsi="Times New Roman" w:cs="Times New Roman"/>
          <w:sz w:val="24"/>
          <w:szCs w:val="24"/>
        </w:rPr>
      </w:pPr>
      <w:r w:rsidRPr="00747044">
        <w:rPr>
          <w:rFonts w:ascii="Times New Roman" w:hAnsi="Times New Roman" w:cs="Times New Roman"/>
          <w:sz w:val="24"/>
          <w:szCs w:val="24"/>
        </w:rPr>
        <w:t>01 OCAK – 30 HAZİRAN 2024</w:t>
      </w:r>
      <w:r>
        <w:rPr>
          <w:rFonts w:ascii="Times New Roman" w:hAnsi="Times New Roman" w:cs="Times New Roman"/>
          <w:sz w:val="24"/>
          <w:szCs w:val="24"/>
        </w:rPr>
        <w:t xml:space="preserve"> </w:t>
      </w:r>
      <w:r w:rsidR="00621CF3" w:rsidRPr="00C6319A">
        <w:rPr>
          <w:rFonts w:ascii="Times New Roman" w:hAnsi="Times New Roman" w:cs="Times New Roman"/>
          <w:sz w:val="24"/>
          <w:szCs w:val="24"/>
        </w:rPr>
        <w:t xml:space="preserve">DÖNEMİNE AİT </w:t>
      </w:r>
    </w:p>
    <w:p w14:paraId="507BF98E" w14:textId="77777777" w:rsidR="00621CF3" w:rsidRPr="00C6319A" w:rsidRDefault="00621CF3" w:rsidP="00621CF3">
      <w:pPr>
        <w:spacing w:after="0"/>
        <w:jc w:val="center"/>
        <w:rPr>
          <w:rFonts w:ascii="Times New Roman" w:hAnsi="Times New Roman" w:cs="Times New Roman"/>
          <w:sz w:val="24"/>
          <w:szCs w:val="24"/>
        </w:rPr>
      </w:pPr>
      <w:r w:rsidRPr="00C6319A">
        <w:rPr>
          <w:rFonts w:ascii="Times New Roman" w:hAnsi="Times New Roman" w:cs="Times New Roman"/>
          <w:sz w:val="24"/>
          <w:szCs w:val="24"/>
        </w:rPr>
        <w:t>PERFORMANS SUNU</w:t>
      </w:r>
      <w:r w:rsidR="007403AA" w:rsidRPr="00C6319A">
        <w:rPr>
          <w:rFonts w:ascii="Times New Roman" w:hAnsi="Times New Roman" w:cs="Times New Roman"/>
          <w:sz w:val="24"/>
          <w:szCs w:val="24"/>
        </w:rPr>
        <w:t>M</w:t>
      </w:r>
      <w:r w:rsidRPr="00C6319A">
        <w:rPr>
          <w:rFonts w:ascii="Times New Roman" w:hAnsi="Times New Roman" w:cs="Times New Roman"/>
          <w:sz w:val="24"/>
          <w:szCs w:val="24"/>
        </w:rPr>
        <w:t xml:space="preserve"> RAPORU </w:t>
      </w:r>
    </w:p>
    <w:p w14:paraId="3F218D6F" w14:textId="77777777" w:rsidR="00621CF3" w:rsidRPr="00C6319A" w:rsidRDefault="00621CF3" w:rsidP="00621CF3">
      <w:pPr>
        <w:spacing w:after="0"/>
        <w:jc w:val="center"/>
        <w:rPr>
          <w:rFonts w:ascii="Times New Roman" w:hAnsi="Times New Roman" w:cs="Times New Roman"/>
          <w:sz w:val="24"/>
          <w:szCs w:val="24"/>
        </w:rPr>
      </w:pPr>
    </w:p>
    <w:p w14:paraId="053BB4CB" w14:textId="77777777" w:rsidR="00621CF3" w:rsidRPr="00C6319A" w:rsidRDefault="00621CF3" w:rsidP="00621CF3">
      <w:pPr>
        <w:spacing w:after="0"/>
        <w:jc w:val="center"/>
        <w:rPr>
          <w:rFonts w:ascii="Times New Roman" w:hAnsi="Times New Roman" w:cs="Times New Roman"/>
          <w:sz w:val="24"/>
          <w:szCs w:val="24"/>
        </w:rPr>
      </w:pPr>
    </w:p>
    <w:p w14:paraId="5E937E93" w14:textId="77777777" w:rsidR="00621CF3" w:rsidRPr="00C6319A" w:rsidRDefault="00621CF3" w:rsidP="00621CF3">
      <w:pPr>
        <w:spacing w:after="0"/>
        <w:jc w:val="center"/>
        <w:rPr>
          <w:rFonts w:ascii="Times New Roman" w:hAnsi="Times New Roman" w:cs="Times New Roman"/>
          <w:sz w:val="24"/>
          <w:szCs w:val="24"/>
        </w:rPr>
      </w:pPr>
    </w:p>
    <w:p w14:paraId="5B6BBB65" w14:textId="77777777" w:rsidR="00621CF3" w:rsidRPr="00C6319A" w:rsidRDefault="00621CF3" w:rsidP="00621CF3">
      <w:pPr>
        <w:spacing w:after="0"/>
        <w:jc w:val="center"/>
        <w:rPr>
          <w:rFonts w:ascii="Times New Roman" w:hAnsi="Times New Roman" w:cs="Times New Roman"/>
          <w:sz w:val="24"/>
          <w:szCs w:val="24"/>
        </w:rPr>
      </w:pPr>
    </w:p>
    <w:p w14:paraId="4F010468" w14:textId="77777777" w:rsidR="00621CF3" w:rsidRPr="00C6319A" w:rsidRDefault="00621CF3" w:rsidP="00621CF3">
      <w:pPr>
        <w:spacing w:after="0"/>
        <w:jc w:val="center"/>
        <w:rPr>
          <w:rFonts w:ascii="Times New Roman" w:hAnsi="Times New Roman" w:cs="Times New Roman"/>
          <w:sz w:val="24"/>
          <w:szCs w:val="24"/>
        </w:rPr>
      </w:pPr>
    </w:p>
    <w:p w14:paraId="7512E724" w14:textId="77777777" w:rsidR="00621CF3" w:rsidRPr="00C6319A" w:rsidRDefault="00621CF3" w:rsidP="00621CF3">
      <w:pPr>
        <w:spacing w:after="0"/>
        <w:jc w:val="center"/>
        <w:rPr>
          <w:rFonts w:ascii="Times New Roman" w:hAnsi="Times New Roman" w:cs="Times New Roman"/>
          <w:sz w:val="24"/>
          <w:szCs w:val="24"/>
        </w:rPr>
      </w:pPr>
    </w:p>
    <w:p w14:paraId="713A365A" w14:textId="77777777" w:rsidR="00621CF3" w:rsidRPr="00C6319A" w:rsidRDefault="00621CF3" w:rsidP="00621CF3">
      <w:pPr>
        <w:spacing w:after="0"/>
        <w:jc w:val="center"/>
        <w:rPr>
          <w:rFonts w:ascii="Times New Roman" w:hAnsi="Times New Roman" w:cs="Times New Roman"/>
          <w:sz w:val="24"/>
          <w:szCs w:val="24"/>
        </w:rPr>
      </w:pPr>
    </w:p>
    <w:p w14:paraId="614418A6" w14:textId="77777777" w:rsidR="00621CF3" w:rsidRPr="00C6319A" w:rsidRDefault="00621CF3" w:rsidP="00621CF3">
      <w:pPr>
        <w:spacing w:after="0"/>
        <w:jc w:val="center"/>
        <w:rPr>
          <w:rFonts w:ascii="Times New Roman" w:hAnsi="Times New Roman" w:cs="Times New Roman"/>
          <w:sz w:val="24"/>
          <w:szCs w:val="24"/>
        </w:rPr>
      </w:pPr>
    </w:p>
    <w:p w14:paraId="2D9EAC84" w14:textId="77777777" w:rsidR="00AD4058" w:rsidRPr="00C6319A" w:rsidRDefault="00AD4058" w:rsidP="00621CF3">
      <w:pPr>
        <w:spacing w:after="0"/>
        <w:jc w:val="center"/>
        <w:rPr>
          <w:rFonts w:ascii="Times New Roman" w:hAnsi="Times New Roman" w:cs="Times New Roman"/>
          <w:sz w:val="24"/>
          <w:szCs w:val="24"/>
        </w:rPr>
      </w:pPr>
    </w:p>
    <w:p w14:paraId="3B4D1E78" w14:textId="77777777" w:rsidR="00AD4058" w:rsidRPr="00C6319A" w:rsidRDefault="00AD4058" w:rsidP="00621CF3">
      <w:pPr>
        <w:spacing w:after="0"/>
        <w:jc w:val="center"/>
        <w:rPr>
          <w:rFonts w:ascii="Times New Roman" w:hAnsi="Times New Roman" w:cs="Times New Roman"/>
          <w:sz w:val="24"/>
          <w:szCs w:val="24"/>
        </w:rPr>
      </w:pPr>
    </w:p>
    <w:p w14:paraId="1896A542" w14:textId="77777777" w:rsidR="00AD4058" w:rsidRPr="00C6319A" w:rsidRDefault="00AD4058" w:rsidP="00621CF3">
      <w:pPr>
        <w:spacing w:after="0"/>
        <w:jc w:val="center"/>
        <w:rPr>
          <w:rFonts w:ascii="Times New Roman" w:hAnsi="Times New Roman" w:cs="Times New Roman"/>
          <w:sz w:val="24"/>
          <w:szCs w:val="24"/>
        </w:rPr>
      </w:pPr>
    </w:p>
    <w:p w14:paraId="664E8946" w14:textId="77777777" w:rsidR="00AD4058" w:rsidRPr="00C6319A" w:rsidRDefault="00AD4058" w:rsidP="00621CF3">
      <w:pPr>
        <w:spacing w:after="0"/>
        <w:jc w:val="center"/>
        <w:rPr>
          <w:rFonts w:ascii="Times New Roman" w:hAnsi="Times New Roman" w:cs="Times New Roman"/>
          <w:sz w:val="24"/>
          <w:szCs w:val="24"/>
        </w:rPr>
      </w:pPr>
    </w:p>
    <w:p w14:paraId="6DF53A63" w14:textId="77777777" w:rsidR="00621CF3" w:rsidRPr="00C6319A" w:rsidRDefault="00621CF3" w:rsidP="00621CF3">
      <w:pPr>
        <w:spacing w:after="0"/>
        <w:jc w:val="center"/>
        <w:rPr>
          <w:rFonts w:ascii="Times New Roman" w:hAnsi="Times New Roman" w:cs="Times New Roman"/>
          <w:sz w:val="24"/>
          <w:szCs w:val="24"/>
        </w:rPr>
      </w:pPr>
    </w:p>
    <w:p w14:paraId="73CDE0BF" w14:textId="77777777" w:rsidR="00621CF3" w:rsidRPr="00C6319A" w:rsidRDefault="00621CF3" w:rsidP="00621CF3">
      <w:pPr>
        <w:spacing w:after="0"/>
        <w:jc w:val="center"/>
        <w:rPr>
          <w:rFonts w:ascii="Times New Roman" w:hAnsi="Times New Roman" w:cs="Times New Roman"/>
          <w:sz w:val="24"/>
          <w:szCs w:val="24"/>
        </w:rPr>
      </w:pPr>
    </w:p>
    <w:p w14:paraId="3C33F819" w14:textId="77777777" w:rsidR="00621CF3" w:rsidRPr="00C6319A" w:rsidRDefault="00621CF3" w:rsidP="00621CF3">
      <w:pPr>
        <w:spacing w:after="0"/>
        <w:jc w:val="center"/>
        <w:rPr>
          <w:rFonts w:ascii="Times New Roman" w:hAnsi="Times New Roman" w:cs="Times New Roman"/>
          <w:sz w:val="24"/>
          <w:szCs w:val="24"/>
        </w:rPr>
      </w:pPr>
    </w:p>
    <w:p w14:paraId="30C1A289" w14:textId="77777777" w:rsidR="00621CF3" w:rsidRPr="00C6319A" w:rsidRDefault="00621CF3" w:rsidP="00621CF3">
      <w:pPr>
        <w:spacing w:after="0"/>
        <w:jc w:val="center"/>
        <w:rPr>
          <w:rFonts w:ascii="Times New Roman" w:hAnsi="Times New Roman" w:cs="Times New Roman"/>
          <w:sz w:val="24"/>
          <w:szCs w:val="24"/>
        </w:rPr>
      </w:pPr>
    </w:p>
    <w:p w14:paraId="0F85383D" w14:textId="77777777" w:rsidR="00621CF3" w:rsidRPr="00C6319A" w:rsidRDefault="00621CF3" w:rsidP="00621CF3">
      <w:pPr>
        <w:spacing w:after="0"/>
        <w:jc w:val="center"/>
        <w:rPr>
          <w:rFonts w:ascii="Times New Roman" w:hAnsi="Times New Roman" w:cs="Times New Roman"/>
          <w:sz w:val="24"/>
          <w:szCs w:val="24"/>
        </w:rPr>
      </w:pPr>
    </w:p>
    <w:p w14:paraId="04CB472B" w14:textId="77777777" w:rsidR="00621CF3" w:rsidRPr="00C6319A" w:rsidRDefault="00621CF3" w:rsidP="00621CF3">
      <w:pPr>
        <w:spacing w:after="0"/>
        <w:jc w:val="center"/>
        <w:rPr>
          <w:rFonts w:ascii="Times New Roman" w:hAnsi="Times New Roman" w:cs="Times New Roman"/>
          <w:sz w:val="24"/>
          <w:szCs w:val="24"/>
        </w:rPr>
      </w:pPr>
    </w:p>
    <w:p w14:paraId="0575E948" w14:textId="77777777" w:rsidR="00621CF3" w:rsidRPr="00C6319A" w:rsidRDefault="00621CF3" w:rsidP="00621CF3">
      <w:pPr>
        <w:spacing w:after="0"/>
        <w:jc w:val="center"/>
        <w:rPr>
          <w:rFonts w:ascii="Times New Roman" w:hAnsi="Times New Roman" w:cs="Times New Roman"/>
          <w:sz w:val="24"/>
          <w:szCs w:val="24"/>
        </w:rPr>
      </w:pPr>
    </w:p>
    <w:p w14:paraId="17832C86" w14:textId="77777777" w:rsidR="00621CF3" w:rsidRPr="00C6319A" w:rsidRDefault="00621CF3" w:rsidP="00621CF3">
      <w:pPr>
        <w:spacing w:after="0"/>
        <w:jc w:val="center"/>
        <w:rPr>
          <w:rFonts w:ascii="Times New Roman" w:hAnsi="Times New Roman" w:cs="Times New Roman"/>
          <w:sz w:val="24"/>
          <w:szCs w:val="24"/>
        </w:rPr>
      </w:pPr>
    </w:p>
    <w:p w14:paraId="1E4FE174" w14:textId="77777777" w:rsidR="00621CF3" w:rsidRPr="00C6319A" w:rsidRDefault="00621CF3" w:rsidP="00621CF3">
      <w:pPr>
        <w:spacing w:after="0"/>
        <w:jc w:val="center"/>
        <w:rPr>
          <w:rFonts w:ascii="Times New Roman" w:hAnsi="Times New Roman" w:cs="Times New Roman"/>
          <w:sz w:val="24"/>
          <w:szCs w:val="24"/>
        </w:rPr>
      </w:pPr>
    </w:p>
    <w:p w14:paraId="7988F1A2" w14:textId="77777777" w:rsidR="00621CF3" w:rsidRPr="00C6319A" w:rsidRDefault="00621CF3" w:rsidP="00621CF3">
      <w:pPr>
        <w:spacing w:after="0"/>
        <w:jc w:val="center"/>
        <w:rPr>
          <w:rFonts w:ascii="Times New Roman" w:hAnsi="Times New Roman" w:cs="Times New Roman"/>
          <w:sz w:val="24"/>
          <w:szCs w:val="24"/>
        </w:rPr>
      </w:pPr>
    </w:p>
    <w:p w14:paraId="15AAD388" w14:textId="77777777" w:rsidR="00621CF3" w:rsidRPr="00C6319A" w:rsidRDefault="00621CF3" w:rsidP="00621CF3">
      <w:pPr>
        <w:spacing w:after="0"/>
        <w:jc w:val="center"/>
        <w:rPr>
          <w:rFonts w:ascii="Times New Roman" w:hAnsi="Times New Roman" w:cs="Times New Roman"/>
          <w:sz w:val="24"/>
          <w:szCs w:val="24"/>
        </w:rPr>
      </w:pPr>
    </w:p>
    <w:p w14:paraId="10A21E75" w14:textId="77777777" w:rsidR="00621CF3" w:rsidRPr="00C6319A" w:rsidRDefault="00621CF3" w:rsidP="00C6319A">
      <w:pPr>
        <w:spacing w:after="0"/>
        <w:rPr>
          <w:rFonts w:ascii="Times New Roman" w:hAnsi="Times New Roman" w:cs="Times New Roman"/>
          <w:sz w:val="24"/>
          <w:szCs w:val="24"/>
        </w:rPr>
      </w:pPr>
    </w:p>
    <w:p w14:paraId="36772C9F" w14:textId="77777777" w:rsidR="00621CF3" w:rsidRPr="00C6319A" w:rsidRDefault="00621CF3" w:rsidP="00621CF3">
      <w:pPr>
        <w:pStyle w:val="ListeParagraf"/>
        <w:numPr>
          <w:ilvl w:val="0"/>
          <w:numId w:val="1"/>
        </w:numPr>
        <w:rPr>
          <w:rFonts w:ascii="Times New Roman" w:hAnsi="Times New Roman" w:cs="Times New Roman"/>
          <w:b/>
          <w:sz w:val="24"/>
          <w:szCs w:val="24"/>
        </w:rPr>
      </w:pPr>
      <w:r w:rsidRPr="00C6319A">
        <w:rPr>
          <w:rFonts w:ascii="Times New Roman" w:hAnsi="Times New Roman" w:cs="Times New Roman"/>
          <w:b/>
          <w:sz w:val="24"/>
          <w:szCs w:val="24"/>
        </w:rPr>
        <w:lastRenderedPageBreak/>
        <w:t>TANITICI BİLGİLER</w:t>
      </w:r>
    </w:p>
    <w:tbl>
      <w:tblPr>
        <w:tblStyle w:val="TabloKlavuzu"/>
        <w:tblW w:w="0" w:type="auto"/>
        <w:tblLook w:val="04A0" w:firstRow="1" w:lastRow="0" w:firstColumn="1" w:lastColumn="0" w:noHBand="0" w:noVBand="1"/>
      </w:tblPr>
      <w:tblGrid>
        <w:gridCol w:w="2112"/>
        <w:gridCol w:w="1887"/>
        <w:gridCol w:w="5063"/>
      </w:tblGrid>
      <w:tr w:rsidR="001B1348" w:rsidRPr="00C6319A" w14:paraId="1687B3A0" w14:textId="77777777" w:rsidTr="006C7294">
        <w:trPr>
          <w:trHeight w:val="818"/>
        </w:trPr>
        <w:tc>
          <w:tcPr>
            <w:tcW w:w="4058" w:type="dxa"/>
            <w:gridSpan w:val="2"/>
          </w:tcPr>
          <w:p w14:paraId="14F7997E" w14:textId="77777777" w:rsidR="001B1348" w:rsidRPr="00C6319A" w:rsidRDefault="001B1348" w:rsidP="001B1348">
            <w:pPr>
              <w:jc w:val="center"/>
              <w:rPr>
                <w:rFonts w:ascii="Times New Roman" w:hAnsi="Times New Roman" w:cs="Times New Roman"/>
                <w:b/>
                <w:sz w:val="24"/>
                <w:szCs w:val="24"/>
              </w:rPr>
            </w:pPr>
            <w:r w:rsidRPr="00C6319A">
              <w:rPr>
                <w:rFonts w:ascii="Times New Roman" w:hAnsi="Times New Roman" w:cs="Times New Roman"/>
                <w:b/>
                <w:sz w:val="24"/>
                <w:szCs w:val="24"/>
              </w:rPr>
              <w:t>PORTFÖYE BAKIŞ</w:t>
            </w:r>
          </w:p>
          <w:p w14:paraId="79C8466B" w14:textId="77777777" w:rsidR="001B1348" w:rsidRPr="00C6319A" w:rsidRDefault="001B1348" w:rsidP="001B1348">
            <w:pPr>
              <w:jc w:val="center"/>
              <w:rPr>
                <w:rFonts w:ascii="Times New Roman" w:hAnsi="Times New Roman" w:cs="Times New Roman"/>
                <w:sz w:val="24"/>
                <w:szCs w:val="24"/>
              </w:rPr>
            </w:pPr>
            <w:r w:rsidRPr="00C6319A">
              <w:rPr>
                <w:rFonts w:ascii="Times New Roman" w:hAnsi="Times New Roman" w:cs="Times New Roman"/>
                <w:sz w:val="24"/>
                <w:szCs w:val="24"/>
              </w:rPr>
              <w:t>Fon’un Halka Arz Tarihi:</w:t>
            </w:r>
          </w:p>
          <w:p w14:paraId="13427A4C" w14:textId="1AFDB217" w:rsidR="001B1348" w:rsidRPr="00C6319A" w:rsidRDefault="00122D09" w:rsidP="001B1348">
            <w:pPr>
              <w:jc w:val="center"/>
              <w:rPr>
                <w:rFonts w:ascii="Times New Roman" w:hAnsi="Times New Roman" w:cs="Times New Roman"/>
                <w:sz w:val="24"/>
                <w:szCs w:val="24"/>
              </w:rPr>
            </w:pPr>
            <w:r>
              <w:rPr>
                <w:rFonts w:ascii="Times New Roman" w:hAnsi="Times New Roman" w:cs="Times New Roman"/>
                <w:sz w:val="24"/>
                <w:szCs w:val="24"/>
              </w:rPr>
              <w:t>2</w:t>
            </w:r>
            <w:r w:rsidR="002557A6">
              <w:rPr>
                <w:rFonts w:ascii="Times New Roman" w:hAnsi="Times New Roman" w:cs="Times New Roman"/>
                <w:sz w:val="24"/>
                <w:szCs w:val="24"/>
              </w:rPr>
              <w:t>3</w:t>
            </w:r>
            <w:r>
              <w:rPr>
                <w:rFonts w:ascii="Times New Roman" w:hAnsi="Times New Roman" w:cs="Times New Roman"/>
                <w:sz w:val="24"/>
                <w:szCs w:val="24"/>
              </w:rPr>
              <w:t>/10</w:t>
            </w:r>
            <w:r w:rsidR="00BA5438">
              <w:rPr>
                <w:rFonts w:ascii="Times New Roman" w:hAnsi="Times New Roman" w:cs="Times New Roman"/>
                <w:sz w:val="24"/>
                <w:szCs w:val="24"/>
              </w:rPr>
              <w:t>/2023</w:t>
            </w:r>
          </w:p>
        </w:tc>
        <w:tc>
          <w:tcPr>
            <w:tcW w:w="5230" w:type="dxa"/>
          </w:tcPr>
          <w:p w14:paraId="785A8029" w14:textId="77777777" w:rsidR="001B1348" w:rsidRPr="00C6319A" w:rsidRDefault="001B1348" w:rsidP="001B1348">
            <w:pPr>
              <w:jc w:val="center"/>
              <w:rPr>
                <w:rFonts w:ascii="Times New Roman" w:hAnsi="Times New Roman" w:cs="Times New Roman"/>
                <w:b/>
                <w:sz w:val="24"/>
                <w:szCs w:val="24"/>
              </w:rPr>
            </w:pPr>
          </w:p>
          <w:p w14:paraId="42F39AD5" w14:textId="77777777" w:rsidR="001B1348" w:rsidRPr="00C6319A" w:rsidRDefault="001B1348" w:rsidP="001B1348">
            <w:pPr>
              <w:jc w:val="center"/>
              <w:rPr>
                <w:rFonts w:ascii="Times New Roman" w:hAnsi="Times New Roman" w:cs="Times New Roman"/>
                <w:b/>
                <w:sz w:val="24"/>
                <w:szCs w:val="24"/>
              </w:rPr>
            </w:pPr>
            <w:r w:rsidRPr="00C6319A">
              <w:rPr>
                <w:rFonts w:ascii="Times New Roman" w:hAnsi="Times New Roman" w:cs="Times New Roman"/>
                <w:b/>
                <w:sz w:val="24"/>
                <w:szCs w:val="24"/>
              </w:rPr>
              <w:t>YATIRIM VE YÖNETİME İLİŞKİN BİLGİLER</w:t>
            </w:r>
          </w:p>
        </w:tc>
      </w:tr>
      <w:tr w:rsidR="001B1348" w:rsidRPr="00C6319A" w14:paraId="52D08609" w14:textId="77777777" w:rsidTr="006C7294">
        <w:trPr>
          <w:trHeight w:val="272"/>
        </w:trPr>
        <w:tc>
          <w:tcPr>
            <w:tcW w:w="4058" w:type="dxa"/>
            <w:gridSpan w:val="2"/>
          </w:tcPr>
          <w:p w14:paraId="6F02B738" w14:textId="7E669723" w:rsidR="001B1348" w:rsidRPr="00C6319A" w:rsidRDefault="00EB152C" w:rsidP="007D75CD">
            <w:pPr>
              <w:jc w:val="center"/>
              <w:rPr>
                <w:rFonts w:ascii="Times New Roman" w:hAnsi="Times New Roman" w:cs="Times New Roman"/>
                <w:b/>
                <w:sz w:val="24"/>
                <w:szCs w:val="24"/>
              </w:rPr>
            </w:pPr>
            <w:r w:rsidRPr="00EB152C">
              <w:rPr>
                <w:rFonts w:ascii="Times New Roman" w:hAnsi="Times New Roman" w:cs="Times New Roman"/>
                <w:b/>
                <w:sz w:val="24"/>
                <w:szCs w:val="24"/>
              </w:rPr>
              <w:t>30 Haziran 2024 itibariyle</w:t>
            </w:r>
          </w:p>
        </w:tc>
        <w:tc>
          <w:tcPr>
            <w:tcW w:w="5230" w:type="dxa"/>
          </w:tcPr>
          <w:p w14:paraId="563BE517" w14:textId="77777777" w:rsidR="001B1348" w:rsidRPr="00C6319A" w:rsidRDefault="001B1348" w:rsidP="001B1348">
            <w:pPr>
              <w:jc w:val="center"/>
              <w:rPr>
                <w:rFonts w:ascii="Times New Roman" w:hAnsi="Times New Roman" w:cs="Times New Roman"/>
                <w:b/>
                <w:sz w:val="24"/>
                <w:szCs w:val="24"/>
              </w:rPr>
            </w:pPr>
            <w:r w:rsidRPr="00C6319A">
              <w:rPr>
                <w:rFonts w:ascii="Times New Roman" w:hAnsi="Times New Roman" w:cs="Times New Roman"/>
                <w:b/>
                <w:sz w:val="24"/>
                <w:szCs w:val="24"/>
              </w:rPr>
              <w:t>Portföy Yöneticileri</w:t>
            </w:r>
          </w:p>
        </w:tc>
      </w:tr>
      <w:tr w:rsidR="001B1348" w:rsidRPr="00C6319A" w14:paraId="1C4CE836" w14:textId="77777777" w:rsidTr="006C7294">
        <w:trPr>
          <w:trHeight w:val="721"/>
        </w:trPr>
        <w:tc>
          <w:tcPr>
            <w:tcW w:w="2162" w:type="dxa"/>
          </w:tcPr>
          <w:p w14:paraId="24B2E994" w14:textId="77777777" w:rsidR="001B1348" w:rsidRPr="00C6319A" w:rsidRDefault="001B1348" w:rsidP="00A05B08">
            <w:pPr>
              <w:rPr>
                <w:rFonts w:ascii="Times New Roman" w:hAnsi="Times New Roman" w:cs="Times New Roman"/>
                <w:sz w:val="24"/>
                <w:szCs w:val="24"/>
              </w:rPr>
            </w:pPr>
            <w:r w:rsidRPr="00C6319A">
              <w:rPr>
                <w:rFonts w:ascii="Times New Roman" w:hAnsi="Times New Roman" w:cs="Times New Roman"/>
                <w:sz w:val="24"/>
                <w:szCs w:val="24"/>
              </w:rPr>
              <w:t>Fon Toplam Değeri</w:t>
            </w:r>
          </w:p>
        </w:tc>
        <w:tc>
          <w:tcPr>
            <w:tcW w:w="1896" w:type="dxa"/>
          </w:tcPr>
          <w:p w14:paraId="7EB7923A" w14:textId="350B2FA0" w:rsidR="001B1348" w:rsidRPr="00C6319A" w:rsidRDefault="0015434C" w:rsidP="00236423">
            <w:pPr>
              <w:jc w:val="right"/>
              <w:rPr>
                <w:rFonts w:ascii="Times New Roman" w:hAnsi="Times New Roman" w:cs="Times New Roman"/>
                <w:sz w:val="24"/>
                <w:szCs w:val="24"/>
              </w:rPr>
            </w:pPr>
            <w:r w:rsidRPr="0015434C">
              <w:rPr>
                <w:rFonts w:ascii="Times New Roman" w:hAnsi="Times New Roman" w:cs="Times New Roman"/>
                <w:sz w:val="24"/>
                <w:szCs w:val="24"/>
              </w:rPr>
              <w:t>699.562.089,25</w:t>
            </w:r>
          </w:p>
        </w:tc>
        <w:tc>
          <w:tcPr>
            <w:tcW w:w="5230" w:type="dxa"/>
          </w:tcPr>
          <w:p w14:paraId="1EEB4715" w14:textId="78010755" w:rsidR="0090002B" w:rsidRDefault="0015434C" w:rsidP="00CF029B">
            <w:pPr>
              <w:rPr>
                <w:rFonts w:ascii="Times New Roman" w:hAnsi="Times New Roman" w:cs="Times New Roman"/>
                <w:sz w:val="24"/>
                <w:szCs w:val="24"/>
              </w:rPr>
            </w:pPr>
            <w:r>
              <w:rPr>
                <w:rFonts w:ascii="Times New Roman" w:hAnsi="Times New Roman" w:cs="Times New Roman"/>
                <w:sz w:val="24"/>
                <w:szCs w:val="24"/>
              </w:rPr>
              <w:t>Niyazi Atasoy</w:t>
            </w:r>
          </w:p>
          <w:p w14:paraId="6371B580" w14:textId="0C78516F" w:rsidR="001F05AE" w:rsidRPr="00C6319A" w:rsidRDefault="0015434C" w:rsidP="00CF029B">
            <w:pPr>
              <w:rPr>
                <w:rFonts w:ascii="Times New Roman" w:hAnsi="Times New Roman" w:cs="Times New Roman"/>
                <w:sz w:val="24"/>
                <w:szCs w:val="24"/>
              </w:rPr>
            </w:pPr>
            <w:r>
              <w:rPr>
                <w:rFonts w:ascii="Times New Roman" w:hAnsi="Times New Roman" w:cs="Times New Roman"/>
                <w:sz w:val="24"/>
                <w:szCs w:val="24"/>
              </w:rPr>
              <w:t>Yunus Şahin</w:t>
            </w:r>
          </w:p>
        </w:tc>
      </w:tr>
      <w:tr w:rsidR="001B1348" w:rsidRPr="00C6319A" w14:paraId="49414BC0" w14:textId="77777777" w:rsidTr="006C7294">
        <w:trPr>
          <w:trHeight w:val="546"/>
        </w:trPr>
        <w:tc>
          <w:tcPr>
            <w:tcW w:w="2162" w:type="dxa"/>
          </w:tcPr>
          <w:p w14:paraId="4D752AFF" w14:textId="77777777" w:rsidR="001B1348" w:rsidRPr="00C6319A" w:rsidRDefault="001B1348" w:rsidP="00A05B08">
            <w:pPr>
              <w:rPr>
                <w:rFonts w:ascii="Times New Roman" w:hAnsi="Times New Roman" w:cs="Times New Roman"/>
                <w:sz w:val="24"/>
                <w:szCs w:val="24"/>
              </w:rPr>
            </w:pPr>
            <w:r w:rsidRPr="00C6319A">
              <w:rPr>
                <w:rFonts w:ascii="Times New Roman" w:hAnsi="Times New Roman" w:cs="Times New Roman"/>
                <w:sz w:val="24"/>
                <w:szCs w:val="24"/>
              </w:rPr>
              <w:t>Birim Pay Değeri</w:t>
            </w:r>
          </w:p>
        </w:tc>
        <w:tc>
          <w:tcPr>
            <w:tcW w:w="1896" w:type="dxa"/>
          </w:tcPr>
          <w:p w14:paraId="22FF4823" w14:textId="46B522AA" w:rsidR="00237C1F" w:rsidRPr="00C6319A" w:rsidRDefault="0015434C" w:rsidP="00236423">
            <w:pPr>
              <w:jc w:val="right"/>
              <w:rPr>
                <w:rFonts w:ascii="Times New Roman" w:hAnsi="Times New Roman" w:cs="Times New Roman"/>
                <w:sz w:val="24"/>
                <w:szCs w:val="24"/>
              </w:rPr>
            </w:pPr>
            <w:r w:rsidRPr="0015434C">
              <w:rPr>
                <w:rFonts w:ascii="Times New Roman" w:hAnsi="Times New Roman" w:cs="Times New Roman"/>
                <w:sz w:val="24"/>
                <w:szCs w:val="24"/>
              </w:rPr>
              <w:t>1,433683</w:t>
            </w:r>
          </w:p>
        </w:tc>
        <w:tc>
          <w:tcPr>
            <w:tcW w:w="5230" w:type="dxa"/>
          </w:tcPr>
          <w:p w14:paraId="367F35D7" w14:textId="77777777" w:rsidR="001B1348" w:rsidRPr="00C6319A" w:rsidRDefault="003D66F7" w:rsidP="003D66F7">
            <w:pPr>
              <w:jc w:val="center"/>
              <w:rPr>
                <w:rFonts w:ascii="Times New Roman" w:hAnsi="Times New Roman" w:cs="Times New Roman"/>
                <w:b/>
                <w:sz w:val="24"/>
                <w:szCs w:val="24"/>
              </w:rPr>
            </w:pPr>
            <w:r w:rsidRPr="00C6319A">
              <w:rPr>
                <w:rFonts w:ascii="Times New Roman" w:hAnsi="Times New Roman" w:cs="Times New Roman"/>
                <w:b/>
                <w:sz w:val="24"/>
                <w:szCs w:val="24"/>
              </w:rPr>
              <w:t>Fon’un Yatırım Amacı ve Stratejisi</w:t>
            </w:r>
          </w:p>
        </w:tc>
      </w:tr>
      <w:tr w:rsidR="00E50129" w:rsidRPr="00C6319A" w14:paraId="41F7A0D8" w14:textId="77777777" w:rsidTr="006C7294">
        <w:trPr>
          <w:trHeight w:val="272"/>
        </w:trPr>
        <w:tc>
          <w:tcPr>
            <w:tcW w:w="2162" w:type="dxa"/>
          </w:tcPr>
          <w:p w14:paraId="6903EC00" w14:textId="77777777" w:rsidR="00E50129" w:rsidRPr="00C6319A" w:rsidRDefault="00E50129" w:rsidP="00A05B08">
            <w:pPr>
              <w:rPr>
                <w:rFonts w:ascii="Times New Roman" w:hAnsi="Times New Roman" w:cs="Times New Roman"/>
                <w:sz w:val="24"/>
                <w:szCs w:val="24"/>
              </w:rPr>
            </w:pPr>
            <w:r w:rsidRPr="00C6319A">
              <w:rPr>
                <w:rFonts w:ascii="Times New Roman" w:hAnsi="Times New Roman" w:cs="Times New Roman"/>
                <w:sz w:val="24"/>
                <w:szCs w:val="24"/>
              </w:rPr>
              <w:t>Yatırımcı Sayısı</w:t>
            </w:r>
          </w:p>
        </w:tc>
        <w:tc>
          <w:tcPr>
            <w:tcW w:w="1896" w:type="dxa"/>
          </w:tcPr>
          <w:p w14:paraId="5681A160" w14:textId="66FD8BFA" w:rsidR="00E50129" w:rsidRPr="00C6319A" w:rsidRDefault="000433B4" w:rsidP="003B245E">
            <w:pPr>
              <w:jc w:val="right"/>
              <w:rPr>
                <w:rFonts w:ascii="Times New Roman" w:hAnsi="Times New Roman" w:cs="Times New Roman"/>
                <w:sz w:val="24"/>
                <w:szCs w:val="24"/>
              </w:rPr>
            </w:pPr>
            <w:r>
              <w:rPr>
                <w:rFonts w:ascii="Times New Roman" w:hAnsi="Times New Roman" w:cs="Times New Roman"/>
                <w:sz w:val="24"/>
                <w:szCs w:val="24"/>
              </w:rPr>
              <w:t>4.617</w:t>
            </w:r>
          </w:p>
        </w:tc>
        <w:tc>
          <w:tcPr>
            <w:tcW w:w="5230" w:type="dxa"/>
            <w:vMerge w:val="restart"/>
          </w:tcPr>
          <w:p w14:paraId="4618D6DC" w14:textId="0006B4A8" w:rsidR="00E50129" w:rsidRPr="00BA5438" w:rsidRDefault="00BA5438" w:rsidP="00E50129">
            <w:pPr>
              <w:jc w:val="both"/>
              <w:rPr>
                <w:rFonts w:ascii="Times New Roman" w:hAnsi="Times New Roman" w:cs="Times New Roman"/>
              </w:rPr>
            </w:pPr>
            <w:r w:rsidRPr="00BA5438">
              <w:rPr>
                <w:rFonts w:ascii="Times New Roman" w:hAnsi="Times New Roman" w:cs="Times New Roman"/>
              </w:rPr>
              <w:t>Fon’un yatırım stratejisi, BIST’te işlem gören; ortaklık paylarında, ortaklık paylarına ait rüçhanlarda, varantlarda, vadeli işlem sözleşmeleri, opsiyon sözleşmeleri ve diğer türev araçlarda gün içinde gerçekleşebilecek fiyat uyuşmazlıklarını ve istatistiksel arbitraj fırsatlarını algoritma destekli sistemler ile değerlendirerek sermaye kazancı sağlamak ve portföy değerini artırmaktır. Fon, söz konusu yatırım stratejisi sonucu oluşan pozisyon risklerini uygun görülen yüksek korelasyonlu finansal ürünler yardımıyla hedge etmeyi amaçlamaktadır. Bu finansal ürünler ortaklık paylarına, pay endekslerine dayalı spot işlemler olabileceği gibi bu varlıklara dayalı forward, swap ve opsiyon gibi türev sözleşmeler de olabilir. Fon tarafından, yukarıda belirtilmeyen para ve sermaye piyasası araçlarına ve bu araçlara dayalı türev işlem ve sözleşmelere de borsada veya borsa dışında yatırım yapabilecektir. Söz konusu işlemler yurt içinde organize piyasalarda ve/veya tezgahüstü olarak yapılabilir</w:t>
            </w:r>
          </w:p>
        </w:tc>
      </w:tr>
      <w:tr w:rsidR="00E50129" w:rsidRPr="00C6319A" w14:paraId="1F67F208" w14:textId="77777777" w:rsidTr="006C7294">
        <w:trPr>
          <w:trHeight w:val="546"/>
        </w:trPr>
        <w:tc>
          <w:tcPr>
            <w:tcW w:w="2162" w:type="dxa"/>
          </w:tcPr>
          <w:p w14:paraId="53E26006" w14:textId="77777777" w:rsidR="00E50129" w:rsidRPr="00C6319A" w:rsidRDefault="00E50129" w:rsidP="00A05B08">
            <w:pPr>
              <w:rPr>
                <w:rFonts w:ascii="Times New Roman" w:hAnsi="Times New Roman" w:cs="Times New Roman"/>
                <w:sz w:val="24"/>
                <w:szCs w:val="24"/>
              </w:rPr>
            </w:pPr>
            <w:r w:rsidRPr="00C6319A">
              <w:rPr>
                <w:rFonts w:ascii="Times New Roman" w:hAnsi="Times New Roman" w:cs="Times New Roman"/>
                <w:sz w:val="24"/>
                <w:szCs w:val="24"/>
              </w:rPr>
              <w:t>Tedavül Oranı (%)</w:t>
            </w:r>
          </w:p>
        </w:tc>
        <w:tc>
          <w:tcPr>
            <w:tcW w:w="1896" w:type="dxa"/>
          </w:tcPr>
          <w:p w14:paraId="2E8AB30D" w14:textId="75545821" w:rsidR="00E50129" w:rsidRPr="00C6319A" w:rsidRDefault="009F576B" w:rsidP="00236423">
            <w:pPr>
              <w:jc w:val="right"/>
              <w:rPr>
                <w:rFonts w:ascii="Times New Roman" w:hAnsi="Times New Roman" w:cs="Times New Roman"/>
                <w:sz w:val="24"/>
                <w:szCs w:val="24"/>
              </w:rPr>
            </w:pPr>
            <w:r>
              <w:rPr>
                <w:rFonts w:ascii="Times New Roman" w:hAnsi="Times New Roman" w:cs="Times New Roman"/>
                <w:sz w:val="24"/>
                <w:szCs w:val="24"/>
              </w:rPr>
              <w:t xml:space="preserve">             </w:t>
            </w:r>
            <w:r w:rsidRPr="009F576B">
              <w:rPr>
                <w:rFonts w:ascii="Times New Roman" w:hAnsi="Times New Roman" w:cs="Times New Roman"/>
                <w:sz w:val="24"/>
                <w:szCs w:val="24"/>
              </w:rPr>
              <w:t xml:space="preserve"> </w:t>
            </w:r>
            <w:r w:rsidR="0015434C">
              <w:rPr>
                <w:rFonts w:ascii="Times New Roman" w:hAnsi="Times New Roman" w:cs="Times New Roman"/>
                <w:sz w:val="24"/>
                <w:szCs w:val="24"/>
              </w:rPr>
              <w:t>9,76</w:t>
            </w:r>
            <w:r w:rsidRPr="009F576B">
              <w:rPr>
                <w:rFonts w:ascii="Times New Roman" w:hAnsi="Times New Roman" w:cs="Times New Roman"/>
                <w:sz w:val="24"/>
                <w:szCs w:val="24"/>
              </w:rPr>
              <w:tab/>
            </w:r>
            <w:r w:rsidRPr="009F576B">
              <w:rPr>
                <w:rFonts w:ascii="Times New Roman" w:hAnsi="Times New Roman" w:cs="Times New Roman"/>
                <w:sz w:val="24"/>
                <w:szCs w:val="24"/>
              </w:rPr>
              <w:tab/>
            </w:r>
            <w:r w:rsidRPr="009F576B">
              <w:rPr>
                <w:rFonts w:ascii="Times New Roman" w:hAnsi="Times New Roman" w:cs="Times New Roman"/>
                <w:sz w:val="24"/>
                <w:szCs w:val="24"/>
              </w:rPr>
              <w:tab/>
            </w:r>
          </w:p>
        </w:tc>
        <w:tc>
          <w:tcPr>
            <w:tcW w:w="5230" w:type="dxa"/>
            <w:vMerge/>
          </w:tcPr>
          <w:p w14:paraId="1A03D0A4" w14:textId="77777777" w:rsidR="00E50129" w:rsidRPr="00C6319A" w:rsidRDefault="00E50129" w:rsidP="00E50129">
            <w:pPr>
              <w:jc w:val="both"/>
              <w:rPr>
                <w:rFonts w:ascii="Times New Roman" w:hAnsi="Times New Roman" w:cs="Times New Roman"/>
                <w:sz w:val="24"/>
                <w:szCs w:val="24"/>
              </w:rPr>
            </w:pPr>
          </w:p>
        </w:tc>
      </w:tr>
      <w:tr w:rsidR="00E50129" w:rsidRPr="00C6319A" w14:paraId="1F1227F2" w14:textId="77777777" w:rsidTr="006C7294">
        <w:trPr>
          <w:trHeight w:val="272"/>
        </w:trPr>
        <w:tc>
          <w:tcPr>
            <w:tcW w:w="4058" w:type="dxa"/>
            <w:gridSpan w:val="2"/>
          </w:tcPr>
          <w:p w14:paraId="71BCD733" w14:textId="77777777" w:rsidR="00E50129" w:rsidRPr="00C6319A" w:rsidRDefault="00E50129" w:rsidP="003D66F7">
            <w:pPr>
              <w:jc w:val="center"/>
              <w:rPr>
                <w:rFonts w:ascii="Times New Roman" w:hAnsi="Times New Roman" w:cs="Times New Roman"/>
                <w:b/>
                <w:sz w:val="24"/>
                <w:szCs w:val="24"/>
              </w:rPr>
            </w:pPr>
            <w:r w:rsidRPr="00C6319A">
              <w:rPr>
                <w:rFonts w:ascii="Times New Roman" w:hAnsi="Times New Roman" w:cs="Times New Roman"/>
                <w:b/>
                <w:sz w:val="24"/>
                <w:szCs w:val="24"/>
              </w:rPr>
              <w:t>Portföy Dağılımı (%)</w:t>
            </w:r>
          </w:p>
        </w:tc>
        <w:tc>
          <w:tcPr>
            <w:tcW w:w="5230" w:type="dxa"/>
            <w:vMerge/>
          </w:tcPr>
          <w:p w14:paraId="7498A580" w14:textId="77777777" w:rsidR="00E50129" w:rsidRPr="00C6319A" w:rsidRDefault="00E50129" w:rsidP="00E50129">
            <w:pPr>
              <w:jc w:val="both"/>
              <w:rPr>
                <w:rFonts w:ascii="Times New Roman" w:hAnsi="Times New Roman" w:cs="Times New Roman"/>
                <w:sz w:val="24"/>
                <w:szCs w:val="24"/>
              </w:rPr>
            </w:pPr>
          </w:p>
        </w:tc>
      </w:tr>
      <w:tr w:rsidR="00F70D62" w:rsidRPr="00C6319A" w14:paraId="55CA7771" w14:textId="77777777" w:rsidTr="006C7294">
        <w:trPr>
          <w:trHeight w:val="261"/>
        </w:trPr>
        <w:tc>
          <w:tcPr>
            <w:tcW w:w="2162" w:type="dxa"/>
          </w:tcPr>
          <w:p w14:paraId="16933FEA" w14:textId="77777777" w:rsidR="00F70D62" w:rsidRPr="00C6319A" w:rsidRDefault="00F70D62" w:rsidP="00A05B08">
            <w:pPr>
              <w:rPr>
                <w:rFonts w:ascii="Times New Roman" w:hAnsi="Times New Roman" w:cs="Times New Roman"/>
                <w:sz w:val="24"/>
                <w:szCs w:val="24"/>
              </w:rPr>
            </w:pPr>
            <w:r w:rsidRPr="00C6319A">
              <w:rPr>
                <w:rFonts w:ascii="Times New Roman" w:hAnsi="Times New Roman" w:cs="Times New Roman"/>
                <w:sz w:val="24"/>
                <w:szCs w:val="24"/>
              </w:rPr>
              <w:t>Paylar</w:t>
            </w:r>
          </w:p>
        </w:tc>
        <w:tc>
          <w:tcPr>
            <w:tcW w:w="1896" w:type="dxa"/>
          </w:tcPr>
          <w:p w14:paraId="2A07B50C" w14:textId="72EB99A9" w:rsidR="00F70D62" w:rsidRPr="00C6319A" w:rsidRDefault="004765AF" w:rsidP="006A0773">
            <w:pPr>
              <w:jc w:val="right"/>
              <w:rPr>
                <w:rFonts w:ascii="Times New Roman" w:hAnsi="Times New Roman" w:cs="Times New Roman"/>
                <w:sz w:val="24"/>
                <w:szCs w:val="24"/>
              </w:rPr>
            </w:pPr>
            <w:r>
              <w:rPr>
                <w:rFonts w:ascii="Times New Roman" w:hAnsi="Times New Roman" w:cs="Times New Roman"/>
                <w:sz w:val="24"/>
                <w:szCs w:val="24"/>
              </w:rPr>
              <w:t>94,31</w:t>
            </w:r>
            <w:r w:rsidR="009F576B" w:rsidRPr="009F576B">
              <w:rPr>
                <w:rFonts w:ascii="Times New Roman" w:hAnsi="Times New Roman" w:cs="Times New Roman"/>
                <w:sz w:val="24"/>
                <w:szCs w:val="24"/>
              </w:rPr>
              <w:tab/>
            </w:r>
          </w:p>
        </w:tc>
        <w:tc>
          <w:tcPr>
            <w:tcW w:w="5230" w:type="dxa"/>
            <w:vMerge/>
          </w:tcPr>
          <w:p w14:paraId="04B95A51" w14:textId="77777777" w:rsidR="00F70D62" w:rsidRPr="00C6319A" w:rsidRDefault="00F70D62" w:rsidP="00A05B08">
            <w:pPr>
              <w:rPr>
                <w:rFonts w:ascii="Times New Roman" w:hAnsi="Times New Roman" w:cs="Times New Roman"/>
                <w:sz w:val="24"/>
                <w:szCs w:val="24"/>
              </w:rPr>
            </w:pPr>
          </w:p>
        </w:tc>
      </w:tr>
      <w:tr w:rsidR="006C7294" w:rsidRPr="00C6319A" w14:paraId="0AB68B25" w14:textId="77777777" w:rsidTr="006C7294">
        <w:trPr>
          <w:trHeight w:val="261"/>
        </w:trPr>
        <w:tc>
          <w:tcPr>
            <w:tcW w:w="2162" w:type="dxa"/>
          </w:tcPr>
          <w:p w14:paraId="7A845140" w14:textId="6CF29590" w:rsidR="006C7294" w:rsidRPr="00C6319A" w:rsidRDefault="00D20DE7" w:rsidP="00A05B08">
            <w:pPr>
              <w:rPr>
                <w:rFonts w:ascii="Times New Roman" w:hAnsi="Times New Roman" w:cs="Times New Roman"/>
                <w:sz w:val="24"/>
                <w:szCs w:val="24"/>
              </w:rPr>
            </w:pPr>
            <w:r>
              <w:rPr>
                <w:rFonts w:ascii="Times New Roman" w:hAnsi="Times New Roman" w:cs="Times New Roman"/>
                <w:sz w:val="24"/>
                <w:szCs w:val="24"/>
              </w:rPr>
              <w:t>Mevduat</w:t>
            </w:r>
            <w:r w:rsidR="006C7294" w:rsidRPr="00C6319A">
              <w:rPr>
                <w:rFonts w:ascii="Times New Roman" w:hAnsi="Times New Roman" w:cs="Times New Roman"/>
                <w:bCs/>
                <w:sz w:val="24"/>
                <w:szCs w:val="24"/>
              </w:rPr>
              <w:t xml:space="preserve">                      </w:t>
            </w:r>
          </w:p>
        </w:tc>
        <w:tc>
          <w:tcPr>
            <w:tcW w:w="1896" w:type="dxa"/>
          </w:tcPr>
          <w:p w14:paraId="412E0D25" w14:textId="0CBCF519" w:rsidR="006C7294" w:rsidRPr="00C6319A" w:rsidRDefault="009F576B" w:rsidP="006A0773">
            <w:pPr>
              <w:jc w:val="right"/>
              <w:rPr>
                <w:rFonts w:ascii="Times New Roman" w:hAnsi="Times New Roman" w:cs="Times New Roman"/>
                <w:sz w:val="24"/>
                <w:szCs w:val="24"/>
              </w:rPr>
            </w:pPr>
            <w:r w:rsidRPr="009F576B">
              <w:rPr>
                <w:rFonts w:ascii="Times New Roman" w:hAnsi="Times New Roman" w:cs="Times New Roman"/>
                <w:sz w:val="24"/>
                <w:szCs w:val="24"/>
              </w:rPr>
              <w:t>0,01</w:t>
            </w:r>
            <w:r w:rsidRPr="009F576B">
              <w:rPr>
                <w:rFonts w:ascii="Times New Roman" w:hAnsi="Times New Roman" w:cs="Times New Roman"/>
                <w:sz w:val="24"/>
                <w:szCs w:val="24"/>
              </w:rPr>
              <w:tab/>
            </w:r>
          </w:p>
        </w:tc>
        <w:tc>
          <w:tcPr>
            <w:tcW w:w="5230" w:type="dxa"/>
            <w:vMerge/>
          </w:tcPr>
          <w:p w14:paraId="1EBB18E3" w14:textId="77777777" w:rsidR="006C7294" w:rsidRPr="00C6319A" w:rsidRDefault="006C7294" w:rsidP="00A05B08">
            <w:pPr>
              <w:rPr>
                <w:rFonts w:ascii="Times New Roman" w:hAnsi="Times New Roman" w:cs="Times New Roman"/>
                <w:sz w:val="24"/>
                <w:szCs w:val="24"/>
              </w:rPr>
            </w:pPr>
          </w:p>
        </w:tc>
      </w:tr>
      <w:tr w:rsidR="00D20DE7" w:rsidRPr="00C6319A" w14:paraId="0AA340C1" w14:textId="77777777" w:rsidTr="006C7294">
        <w:trPr>
          <w:trHeight w:val="261"/>
        </w:trPr>
        <w:tc>
          <w:tcPr>
            <w:tcW w:w="2162" w:type="dxa"/>
          </w:tcPr>
          <w:p w14:paraId="41283AB7" w14:textId="77AAB9EA" w:rsidR="00D20DE7" w:rsidRDefault="00D20DE7" w:rsidP="00A05B08">
            <w:pPr>
              <w:rPr>
                <w:rFonts w:ascii="Times New Roman" w:hAnsi="Times New Roman" w:cs="Times New Roman"/>
                <w:sz w:val="24"/>
                <w:szCs w:val="24"/>
              </w:rPr>
            </w:pPr>
            <w:r>
              <w:rPr>
                <w:rFonts w:ascii="Times New Roman" w:hAnsi="Times New Roman" w:cs="Times New Roman"/>
                <w:sz w:val="24"/>
                <w:szCs w:val="24"/>
              </w:rPr>
              <w:t>Yatırım Fonu</w:t>
            </w:r>
          </w:p>
        </w:tc>
        <w:tc>
          <w:tcPr>
            <w:tcW w:w="1896" w:type="dxa"/>
          </w:tcPr>
          <w:p w14:paraId="3F614C55" w14:textId="482BF277" w:rsidR="00D20DE7" w:rsidRDefault="004765AF" w:rsidP="006A0773">
            <w:pPr>
              <w:jc w:val="right"/>
              <w:rPr>
                <w:rFonts w:ascii="Times New Roman" w:hAnsi="Times New Roman" w:cs="Times New Roman"/>
                <w:sz w:val="24"/>
                <w:szCs w:val="24"/>
              </w:rPr>
            </w:pPr>
            <w:r>
              <w:rPr>
                <w:rFonts w:ascii="Times New Roman" w:hAnsi="Times New Roman" w:cs="Times New Roman"/>
                <w:sz w:val="24"/>
                <w:szCs w:val="24"/>
              </w:rPr>
              <w:t>5,68</w:t>
            </w:r>
            <w:r w:rsidR="009F576B" w:rsidRPr="009F576B">
              <w:rPr>
                <w:rFonts w:ascii="Times New Roman" w:hAnsi="Times New Roman" w:cs="Times New Roman"/>
                <w:sz w:val="24"/>
                <w:szCs w:val="24"/>
              </w:rPr>
              <w:tab/>
            </w:r>
          </w:p>
        </w:tc>
        <w:tc>
          <w:tcPr>
            <w:tcW w:w="5230" w:type="dxa"/>
            <w:vMerge/>
          </w:tcPr>
          <w:p w14:paraId="12BA2828" w14:textId="77777777" w:rsidR="00D20DE7" w:rsidRPr="00C6319A" w:rsidRDefault="00D20DE7" w:rsidP="00A05B08">
            <w:pPr>
              <w:rPr>
                <w:rFonts w:ascii="Times New Roman" w:hAnsi="Times New Roman" w:cs="Times New Roman"/>
                <w:sz w:val="24"/>
                <w:szCs w:val="24"/>
              </w:rPr>
            </w:pPr>
          </w:p>
        </w:tc>
      </w:tr>
      <w:tr w:rsidR="00E50129" w:rsidRPr="00C6319A" w14:paraId="2C140DCB" w14:textId="77777777" w:rsidTr="006C7294">
        <w:trPr>
          <w:trHeight w:val="891"/>
        </w:trPr>
        <w:tc>
          <w:tcPr>
            <w:tcW w:w="2162" w:type="dxa"/>
            <w:tcBorders>
              <w:top w:val="nil"/>
              <w:left w:val="single" w:sz="4" w:space="0" w:color="auto"/>
              <w:bottom w:val="single" w:sz="4" w:space="0" w:color="auto"/>
              <w:right w:val="nil"/>
            </w:tcBorders>
          </w:tcPr>
          <w:p w14:paraId="70218834" w14:textId="1FEED5C2" w:rsidR="00E50129" w:rsidRPr="00C6319A" w:rsidRDefault="00E50129" w:rsidP="00227C69">
            <w:pPr>
              <w:rPr>
                <w:rFonts w:ascii="Times New Roman" w:hAnsi="Times New Roman" w:cs="Times New Roman"/>
                <w:sz w:val="24"/>
                <w:szCs w:val="24"/>
              </w:rPr>
            </w:pPr>
          </w:p>
        </w:tc>
        <w:tc>
          <w:tcPr>
            <w:tcW w:w="1896" w:type="dxa"/>
            <w:tcBorders>
              <w:top w:val="nil"/>
              <w:left w:val="nil"/>
              <w:bottom w:val="single" w:sz="4" w:space="0" w:color="auto"/>
              <w:right w:val="single" w:sz="4" w:space="0" w:color="auto"/>
            </w:tcBorders>
          </w:tcPr>
          <w:p w14:paraId="51732CE0" w14:textId="77777777" w:rsidR="00E50129" w:rsidRPr="00C6319A" w:rsidRDefault="00E50129" w:rsidP="00E50129">
            <w:pPr>
              <w:jc w:val="right"/>
              <w:rPr>
                <w:rFonts w:ascii="Times New Roman" w:hAnsi="Times New Roman" w:cs="Times New Roman"/>
                <w:sz w:val="24"/>
                <w:szCs w:val="24"/>
              </w:rPr>
            </w:pPr>
          </w:p>
        </w:tc>
        <w:tc>
          <w:tcPr>
            <w:tcW w:w="5230" w:type="dxa"/>
            <w:vMerge/>
            <w:tcBorders>
              <w:left w:val="single" w:sz="4" w:space="0" w:color="auto"/>
            </w:tcBorders>
          </w:tcPr>
          <w:p w14:paraId="4A8D5C20" w14:textId="77777777" w:rsidR="00E50129" w:rsidRPr="00C6319A" w:rsidRDefault="00E50129" w:rsidP="00A05B08">
            <w:pPr>
              <w:rPr>
                <w:rFonts w:ascii="Times New Roman" w:hAnsi="Times New Roman" w:cs="Times New Roman"/>
                <w:sz w:val="24"/>
                <w:szCs w:val="24"/>
              </w:rPr>
            </w:pPr>
          </w:p>
        </w:tc>
      </w:tr>
      <w:tr w:rsidR="00D52CC0" w:rsidRPr="00C6319A" w14:paraId="01C9D9AB" w14:textId="77777777" w:rsidTr="001C29A7">
        <w:trPr>
          <w:trHeight w:val="319"/>
        </w:trPr>
        <w:tc>
          <w:tcPr>
            <w:tcW w:w="9288" w:type="dxa"/>
            <w:gridSpan w:val="3"/>
          </w:tcPr>
          <w:p w14:paraId="1861FA3E" w14:textId="25EDFFF1" w:rsidR="00D52CC0" w:rsidRPr="00C6319A" w:rsidRDefault="00D52CC0" w:rsidP="00D52CC0">
            <w:pPr>
              <w:jc w:val="center"/>
              <w:rPr>
                <w:rFonts w:ascii="Times New Roman" w:hAnsi="Times New Roman" w:cs="Times New Roman"/>
                <w:sz w:val="24"/>
                <w:szCs w:val="24"/>
              </w:rPr>
            </w:pPr>
            <w:r w:rsidRPr="00C6319A">
              <w:rPr>
                <w:rFonts w:ascii="Times New Roman" w:hAnsi="Times New Roman" w:cs="Times New Roman"/>
                <w:sz w:val="24"/>
                <w:szCs w:val="24"/>
              </w:rPr>
              <w:t xml:space="preserve">En Az Alınabilir Pay </w:t>
            </w:r>
            <w:r w:rsidR="00227C69" w:rsidRPr="00C6319A">
              <w:rPr>
                <w:rFonts w:ascii="Times New Roman" w:hAnsi="Times New Roman" w:cs="Times New Roman"/>
                <w:sz w:val="24"/>
                <w:szCs w:val="24"/>
              </w:rPr>
              <w:t>Adedi:</w:t>
            </w:r>
            <w:r w:rsidRPr="00C6319A">
              <w:rPr>
                <w:rFonts w:ascii="Times New Roman" w:hAnsi="Times New Roman" w:cs="Times New Roman"/>
                <w:sz w:val="24"/>
                <w:szCs w:val="24"/>
              </w:rPr>
              <w:t xml:space="preserve"> 1 Adet</w:t>
            </w:r>
          </w:p>
        </w:tc>
      </w:tr>
    </w:tbl>
    <w:p w14:paraId="7D5438C5" w14:textId="6E5CD787" w:rsidR="00621CF3" w:rsidRPr="00C6319A" w:rsidRDefault="00621CF3" w:rsidP="00621CF3">
      <w:pPr>
        <w:spacing w:after="0"/>
        <w:jc w:val="center"/>
        <w:rPr>
          <w:rFonts w:ascii="Times New Roman" w:hAnsi="Times New Roman" w:cs="Times New Roman"/>
          <w:sz w:val="24"/>
          <w:szCs w:val="24"/>
        </w:rPr>
      </w:pPr>
    </w:p>
    <w:p w14:paraId="23461D99" w14:textId="77777777" w:rsidR="00973E09" w:rsidRPr="00C6319A" w:rsidRDefault="00973E09" w:rsidP="00973E09">
      <w:pPr>
        <w:pStyle w:val="ListeParagraf"/>
        <w:numPr>
          <w:ilvl w:val="0"/>
          <w:numId w:val="1"/>
        </w:numPr>
        <w:rPr>
          <w:rFonts w:ascii="Times New Roman" w:hAnsi="Times New Roman" w:cs="Times New Roman"/>
          <w:b/>
          <w:sz w:val="24"/>
          <w:szCs w:val="24"/>
        </w:rPr>
      </w:pPr>
      <w:r w:rsidRPr="00C6319A">
        <w:rPr>
          <w:rFonts w:ascii="Times New Roman" w:hAnsi="Times New Roman" w:cs="Times New Roman"/>
          <w:b/>
          <w:sz w:val="24"/>
          <w:szCs w:val="24"/>
        </w:rPr>
        <w:t>PERFORMANS BİLGİSİ</w:t>
      </w:r>
    </w:p>
    <w:tbl>
      <w:tblPr>
        <w:tblW w:w="9111" w:type="dxa"/>
        <w:tblInd w:w="75" w:type="dxa"/>
        <w:tblCellMar>
          <w:left w:w="70" w:type="dxa"/>
          <w:right w:w="70" w:type="dxa"/>
        </w:tblCellMar>
        <w:tblLook w:val="04A0" w:firstRow="1" w:lastRow="0" w:firstColumn="1" w:lastColumn="0" w:noHBand="0" w:noVBand="1"/>
      </w:tblPr>
      <w:tblGrid>
        <w:gridCol w:w="989"/>
        <w:gridCol w:w="854"/>
        <w:gridCol w:w="1210"/>
        <w:gridCol w:w="1125"/>
        <w:gridCol w:w="1273"/>
        <w:gridCol w:w="1328"/>
        <w:gridCol w:w="1043"/>
        <w:gridCol w:w="1288"/>
        <w:gridCol w:w="146"/>
      </w:tblGrid>
      <w:tr w:rsidR="00605D94" w:rsidRPr="00605D94" w14:paraId="2688CBEB" w14:textId="77777777" w:rsidTr="00605D94">
        <w:trPr>
          <w:gridAfter w:val="1"/>
          <w:wAfter w:w="99" w:type="dxa"/>
          <w:trHeight w:val="724"/>
        </w:trPr>
        <w:tc>
          <w:tcPr>
            <w:tcW w:w="9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8CD1CF" w14:textId="77777777" w:rsidR="00605D94" w:rsidRPr="00605D94" w:rsidRDefault="00605D94" w:rsidP="00605D94">
            <w:pPr>
              <w:spacing w:after="0" w:line="240" w:lineRule="auto"/>
              <w:rPr>
                <w:rFonts w:ascii="Times New Roman" w:eastAsia="Times New Roman" w:hAnsi="Times New Roman" w:cs="Times New Roman"/>
                <w:b/>
                <w:bCs/>
                <w:color w:val="000000"/>
                <w:sz w:val="18"/>
                <w:szCs w:val="18"/>
                <w:lang w:eastAsia="tr-TR"/>
              </w:rPr>
            </w:pPr>
            <w:r w:rsidRPr="00605D94">
              <w:rPr>
                <w:rFonts w:ascii="Times New Roman" w:eastAsia="Times New Roman" w:hAnsi="Times New Roman" w:cs="Times New Roman"/>
                <w:b/>
                <w:bCs/>
                <w:color w:val="000000"/>
                <w:sz w:val="18"/>
                <w:szCs w:val="18"/>
                <w:lang w:eastAsia="tr-TR"/>
              </w:rPr>
              <w:t>Yıllar</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59C778" w14:textId="77777777" w:rsidR="00605D94" w:rsidRPr="00605D94" w:rsidRDefault="00605D94" w:rsidP="00605D94">
            <w:pPr>
              <w:spacing w:after="0" w:line="240" w:lineRule="auto"/>
              <w:rPr>
                <w:rFonts w:ascii="Times New Roman" w:eastAsia="Times New Roman" w:hAnsi="Times New Roman" w:cs="Times New Roman"/>
                <w:b/>
                <w:bCs/>
                <w:color w:val="000000"/>
                <w:sz w:val="18"/>
                <w:szCs w:val="18"/>
                <w:lang w:eastAsia="tr-TR"/>
              </w:rPr>
            </w:pPr>
            <w:r w:rsidRPr="00605D94">
              <w:rPr>
                <w:rFonts w:ascii="Times New Roman" w:eastAsia="Times New Roman" w:hAnsi="Times New Roman" w:cs="Times New Roman"/>
                <w:b/>
                <w:bCs/>
                <w:color w:val="000000"/>
                <w:sz w:val="18"/>
                <w:szCs w:val="18"/>
                <w:lang w:eastAsia="tr-TR"/>
              </w:rPr>
              <w:t>Toplam Getiri (%)</w:t>
            </w:r>
          </w:p>
        </w:tc>
        <w:tc>
          <w:tcPr>
            <w:tcW w:w="11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461531" w14:textId="77777777" w:rsidR="00605D94" w:rsidRPr="00605D94" w:rsidRDefault="00605D94" w:rsidP="00605D94">
            <w:pPr>
              <w:spacing w:after="0" w:line="240" w:lineRule="auto"/>
              <w:rPr>
                <w:rFonts w:ascii="Times New Roman" w:eastAsia="Times New Roman" w:hAnsi="Times New Roman" w:cs="Times New Roman"/>
                <w:b/>
                <w:bCs/>
                <w:color w:val="000000"/>
                <w:sz w:val="18"/>
                <w:szCs w:val="18"/>
                <w:lang w:eastAsia="tr-TR"/>
              </w:rPr>
            </w:pPr>
            <w:r w:rsidRPr="00605D94">
              <w:rPr>
                <w:rFonts w:ascii="Times New Roman" w:eastAsia="Times New Roman" w:hAnsi="Times New Roman" w:cs="Times New Roman"/>
                <w:b/>
                <w:bCs/>
                <w:color w:val="000000"/>
                <w:sz w:val="18"/>
                <w:szCs w:val="18"/>
                <w:lang w:eastAsia="tr-TR"/>
              </w:rPr>
              <w:t>Karşılaştırma Ölçütünün Getirisi/Eşik Değer (%) (*)</w:t>
            </w:r>
          </w:p>
        </w:tc>
        <w:tc>
          <w:tcPr>
            <w:tcW w:w="11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A7E765" w14:textId="77777777" w:rsidR="00605D94" w:rsidRPr="00605D94" w:rsidRDefault="00605D94" w:rsidP="00605D94">
            <w:pPr>
              <w:spacing w:after="0" w:line="240" w:lineRule="auto"/>
              <w:rPr>
                <w:rFonts w:ascii="Times New Roman" w:eastAsia="Times New Roman" w:hAnsi="Times New Roman" w:cs="Times New Roman"/>
                <w:b/>
                <w:bCs/>
                <w:color w:val="000000"/>
                <w:sz w:val="18"/>
                <w:szCs w:val="18"/>
                <w:lang w:eastAsia="tr-TR"/>
              </w:rPr>
            </w:pPr>
            <w:r w:rsidRPr="00605D94">
              <w:rPr>
                <w:rFonts w:ascii="Times New Roman" w:eastAsia="Times New Roman" w:hAnsi="Times New Roman" w:cs="Times New Roman"/>
                <w:b/>
                <w:bCs/>
                <w:color w:val="000000"/>
                <w:sz w:val="18"/>
                <w:szCs w:val="18"/>
                <w:lang w:eastAsia="tr-TR"/>
              </w:rPr>
              <w:t>Üfe Enflasyon Oranı (%) (**)</w:t>
            </w:r>
          </w:p>
        </w:tc>
        <w:tc>
          <w:tcPr>
            <w:tcW w:w="12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64EB6D" w14:textId="77777777" w:rsidR="00605D94" w:rsidRPr="00605D94" w:rsidRDefault="00605D94" w:rsidP="00605D94">
            <w:pPr>
              <w:spacing w:after="0" w:line="240" w:lineRule="auto"/>
              <w:jc w:val="center"/>
              <w:rPr>
                <w:rFonts w:ascii="Times New Roman" w:eastAsia="Times New Roman" w:hAnsi="Times New Roman" w:cs="Times New Roman"/>
                <w:b/>
                <w:bCs/>
                <w:color w:val="000000"/>
                <w:sz w:val="18"/>
                <w:szCs w:val="18"/>
                <w:lang w:eastAsia="tr-TR"/>
              </w:rPr>
            </w:pPr>
            <w:r w:rsidRPr="00605D94">
              <w:rPr>
                <w:rFonts w:ascii="Times New Roman" w:eastAsia="Times New Roman" w:hAnsi="Times New Roman" w:cs="Times New Roman"/>
                <w:b/>
                <w:bCs/>
                <w:color w:val="000000"/>
                <w:sz w:val="18"/>
                <w:szCs w:val="18"/>
                <w:lang w:eastAsia="tr-TR"/>
              </w:rPr>
              <w:t>Portföyün Zaman İçinde Standart Sapması (%)</w:t>
            </w:r>
          </w:p>
        </w:tc>
        <w:tc>
          <w:tcPr>
            <w:tcW w:w="13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A8975A" w14:textId="77777777" w:rsidR="00605D94" w:rsidRPr="00605D94" w:rsidRDefault="00605D94" w:rsidP="00605D94">
            <w:pPr>
              <w:spacing w:after="0" w:line="240" w:lineRule="auto"/>
              <w:rPr>
                <w:rFonts w:ascii="Times New Roman" w:eastAsia="Times New Roman" w:hAnsi="Times New Roman" w:cs="Times New Roman"/>
                <w:b/>
                <w:bCs/>
                <w:color w:val="000000"/>
                <w:sz w:val="18"/>
                <w:szCs w:val="18"/>
                <w:lang w:eastAsia="tr-TR"/>
              </w:rPr>
            </w:pPr>
            <w:r w:rsidRPr="00605D94">
              <w:rPr>
                <w:rFonts w:ascii="Times New Roman" w:eastAsia="Times New Roman" w:hAnsi="Times New Roman" w:cs="Times New Roman"/>
                <w:b/>
                <w:bCs/>
                <w:color w:val="000000"/>
                <w:sz w:val="18"/>
                <w:szCs w:val="18"/>
                <w:lang w:eastAsia="tr-TR"/>
              </w:rPr>
              <w:t>Karşılaştırma Ölçütünün Standart Sapması (%)</w:t>
            </w:r>
          </w:p>
        </w:tc>
        <w:tc>
          <w:tcPr>
            <w:tcW w:w="10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C340F8" w14:textId="77777777" w:rsidR="00605D94" w:rsidRPr="00605D94" w:rsidRDefault="00605D94" w:rsidP="00605D94">
            <w:pPr>
              <w:spacing w:after="0" w:line="240" w:lineRule="auto"/>
              <w:rPr>
                <w:rFonts w:ascii="Times New Roman" w:eastAsia="Times New Roman" w:hAnsi="Times New Roman" w:cs="Times New Roman"/>
                <w:b/>
                <w:bCs/>
                <w:color w:val="000000"/>
                <w:sz w:val="18"/>
                <w:szCs w:val="18"/>
                <w:lang w:eastAsia="tr-TR"/>
              </w:rPr>
            </w:pPr>
            <w:r w:rsidRPr="00605D94">
              <w:rPr>
                <w:rFonts w:ascii="Times New Roman" w:eastAsia="Times New Roman" w:hAnsi="Times New Roman" w:cs="Times New Roman"/>
                <w:b/>
                <w:bCs/>
                <w:color w:val="000000"/>
                <w:sz w:val="18"/>
                <w:szCs w:val="18"/>
                <w:lang w:eastAsia="tr-TR"/>
              </w:rPr>
              <w:t>Bilgi Rasyosu</w:t>
            </w:r>
          </w:p>
        </w:tc>
        <w:tc>
          <w:tcPr>
            <w:tcW w:w="1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A04BCD" w14:textId="77777777" w:rsidR="00605D94" w:rsidRPr="00605D94" w:rsidRDefault="00605D94" w:rsidP="00605D94">
            <w:pPr>
              <w:spacing w:after="0" w:line="240" w:lineRule="auto"/>
              <w:jc w:val="center"/>
              <w:rPr>
                <w:rFonts w:ascii="Times New Roman" w:eastAsia="Times New Roman" w:hAnsi="Times New Roman" w:cs="Times New Roman"/>
                <w:b/>
                <w:bCs/>
                <w:color w:val="000000"/>
                <w:sz w:val="18"/>
                <w:szCs w:val="18"/>
                <w:lang w:eastAsia="tr-TR"/>
              </w:rPr>
            </w:pPr>
            <w:r w:rsidRPr="00605D94">
              <w:rPr>
                <w:rFonts w:ascii="Times New Roman" w:eastAsia="Times New Roman" w:hAnsi="Times New Roman" w:cs="Times New Roman"/>
                <w:b/>
                <w:bCs/>
                <w:color w:val="000000"/>
                <w:sz w:val="18"/>
                <w:szCs w:val="18"/>
                <w:lang w:eastAsia="tr-TR"/>
              </w:rPr>
              <w:t>Sunuma Dahil Dönem Sonu Portföyün Toplam Değer</w:t>
            </w:r>
          </w:p>
        </w:tc>
      </w:tr>
      <w:tr w:rsidR="00605D94" w:rsidRPr="00605D94" w14:paraId="7A7F0C34" w14:textId="77777777" w:rsidTr="00605D94">
        <w:trPr>
          <w:trHeight w:val="250"/>
        </w:trPr>
        <w:tc>
          <w:tcPr>
            <w:tcW w:w="989" w:type="dxa"/>
            <w:vMerge/>
            <w:tcBorders>
              <w:top w:val="single" w:sz="4" w:space="0" w:color="auto"/>
              <w:left w:val="single" w:sz="4" w:space="0" w:color="auto"/>
              <w:bottom w:val="single" w:sz="4" w:space="0" w:color="auto"/>
              <w:right w:val="single" w:sz="4" w:space="0" w:color="auto"/>
            </w:tcBorders>
            <w:vAlign w:val="center"/>
            <w:hideMark/>
          </w:tcPr>
          <w:p w14:paraId="6903C50B" w14:textId="77777777" w:rsidR="00605D94" w:rsidRPr="00605D94" w:rsidRDefault="00605D94" w:rsidP="00605D94">
            <w:pPr>
              <w:spacing w:after="0" w:line="240" w:lineRule="auto"/>
              <w:rPr>
                <w:rFonts w:ascii="Times New Roman" w:eastAsia="Times New Roman" w:hAnsi="Times New Roman" w:cs="Times New Roman"/>
                <w:b/>
                <w:bCs/>
                <w:color w:val="000000"/>
                <w:sz w:val="18"/>
                <w:szCs w:val="18"/>
                <w:lang w:eastAsia="tr-TR"/>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14:paraId="50AB2C8F" w14:textId="77777777" w:rsidR="00605D94" w:rsidRPr="00605D94" w:rsidRDefault="00605D94" w:rsidP="00605D94">
            <w:pPr>
              <w:spacing w:after="0" w:line="240" w:lineRule="auto"/>
              <w:rPr>
                <w:rFonts w:ascii="Times New Roman" w:eastAsia="Times New Roman" w:hAnsi="Times New Roman" w:cs="Times New Roman"/>
                <w:b/>
                <w:bCs/>
                <w:color w:val="000000"/>
                <w:sz w:val="18"/>
                <w:szCs w:val="18"/>
                <w:lang w:eastAsia="tr-TR"/>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51D94390" w14:textId="77777777" w:rsidR="00605D94" w:rsidRPr="00605D94" w:rsidRDefault="00605D94" w:rsidP="00605D94">
            <w:pPr>
              <w:spacing w:after="0" w:line="240" w:lineRule="auto"/>
              <w:rPr>
                <w:rFonts w:ascii="Times New Roman" w:eastAsia="Times New Roman" w:hAnsi="Times New Roman" w:cs="Times New Roman"/>
                <w:b/>
                <w:bCs/>
                <w:color w:val="000000"/>
                <w:sz w:val="18"/>
                <w:szCs w:val="18"/>
                <w:lang w:eastAsia="tr-TR"/>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1701CE72" w14:textId="77777777" w:rsidR="00605D94" w:rsidRPr="00605D94" w:rsidRDefault="00605D94" w:rsidP="00605D94">
            <w:pPr>
              <w:spacing w:after="0" w:line="240" w:lineRule="auto"/>
              <w:rPr>
                <w:rFonts w:ascii="Times New Roman" w:eastAsia="Times New Roman" w:hAnsi="Times New Roman" w:cs="Times New Roman"/>
                <w:b/>
                <w:bCs/>
                <w:color w:val="000000"/>
                <w:sz w:val="18"/>
                <w:szCs w:val="18"/>
                <w:lang w:eastAsia="tr-TR"/>
              </w:rPr>
            </w:pPr>
          </w:p>
        </w:tc>
        <w:tc>
          <w:tcPr>
            <w:tcW w:w="1273" w:type="dxa"/>
            <w:vMerge/>
            <w:tcBorders>
              <w:top w:val="single" w:sz="4" w:space="0" w:color="auto"/>
              <w:left w:val="single" w:sz="4" w:space="0" w:color="auto"/>
              <w:bottom w:val="single" w:sz="4" w:space="0" w:color="auto"/>
              <w:right w:val="single" w:sz="4" w:space="0" w:color="auto"/>
            </w:tcBorders>
            <w:vAlign w:val="center"/>
            <w:hideMark/>
          </w:tcPr>
          <w:p w14:paraId="3B59AACE" w14:textId="77777777" w:rsidR="00605D94" w:rsidRPr="00605D94" w:rsidRDefault="00605D94" w:rsidP="00605D94">
            <w:pPr>
              <w:spacing w:after="0" w:line="240" w:lineRule="auto"/>
              <w:rPr>
                <w:rFonts w:ascii="Times New Roman" w:eastAsia="Times New Roman" w:hAnsi="Times New Roman" w:cs="Times New Roman"/>
                <w:b/>
                <w:bCs/>
                <w:color w:val="000000"/>
                <w:sz w:val="18"/>
                <w:szCs w:val="18"/>
                <w:lang w:eastAsia="tr-TR"/>
              </w:rPr>
            </w:pPr>
          </w:p>
        </w:tc>
        <w:tc>
          <w:tcPr>
            <w:tcW w:w="1328" w:type="dxa"/>
            <w:vMerge/>
            <w:tcBorders>
              <w:top w:val="single" w:sz="4" w:space="0" w:color="auto"/>
              <w:left w:val="single" w:sz="4" w:space="0" w:color="auto"/>
              <w:bottom w:val="single" w:sz="4" w:space="0" w:color="auto"/>
              <w:right w:val="single" w:sz="4" w:space="0" w:color="auto"/>
            </w:tcBorders>
            <w:vAlign w:val="center"/>
            <w:hideMark/>
          </w:tcPr>
          <w:p w14:paraId="79FA6DEF" w14:textId="77777777" w:rsidR="00605D94" w:rsidRPr="00605D94" w:rsidRDefault="00605D94" w:rsidP="00605D94">
            <w:pPr>
              <w:spacing w:after="0" w:line="240" w:lineRule="auto"/>
              <w:rPr>
                <w:rFonts w:ascii="Times New Roman" w:eastAsia="Times New Roman" w:hAnsi="Times New Roman" w:cs="Times New Roman"/>
                <w:b/>
                <w:bCs/>
                <w:color w:val="000000"/>
                <w:sz w:val="18"/>
                <w:szCs w:val="18"/>
                <w:lang w:eastAsia="tr-TR"/>
              </w:rPr>
            </w:pPr>
          </w:p>
        </w:tc>
        <w:tc>
          <w:tcPr>
            <w:tcW w:w="1043" w:type="dxa"/>
            <w:vMerge/>
            <w:tcBorders>
              <w:top w:val="single" w:sz="4" w:space="0" w:color="auto"/>
              <w:left w:val="single" w:sz="4" w:space="0" w:color="auto"/>
              <w:bottom w:val="single" w:sz="4" w:space="0" w:color="auto"/>
              <w:right w:val="single" w:sz="4" w:space="0" w:color="auto"/>
            </w:tcBorders>
            <w:vAlign w:val="center"/>
            <w:hideMark/>
          </w:tcPr>
          <w:p w14:paraId="17586682" w14:textId="77777777" w:rsidR="00605D94" w:rsidRPr="00605D94" w:rsidRDefault="00605D94" w:rsidP="00605D94">
            <w:pPr>
              <w:spacing w:after="0" w:line="240" w:lineRule="auto"/>
              <w:rPr>
                <w:rFonts w:ascii="Times New Roman" w:eastAsia="Times New Roman" w:hAnsi="Times New Roman" w:cs="Times New Roman"/>
                <w:b/>
                <w:bCs/>
                <w:color w:val="000000"/>
                <w:sz w:val="18"/>
                <w:szCs w:val="18"/>
                <w:lang w:eastAsia="tr-TR"/>
              </w:rPr>
            </w:pPr>
          </w:p>
        </w:tc>
        <w:tc>
          <w:tcPr>
            <w:tcW w:w="1288" w:type="dxa"/>
            <w:vMerge/>
            <w:tcBorders>
              <w:top w:val="single" w:sz="4" w:space="0" w:color="auto"/>
              <w:left w:val="single" w:sz="4" w:space="0" w:color="auto"/>
              <w:bottom w:val="single" w:sz="4" w:space="0" w:color="auto"/>
              <w:right w:val="single" w:sz="4" w:space="0" w:color="auto"/>
            </w:tcBorders>
            <w:vAlign w:val="center"/>
            <w:hideMark/>
          </w:tcPr>
          <w:p w14:paraId="3561464B" w14:textId="77777777" w:rsidR="00605D94" w:rsidRPr="00605D94" w:rsidRDefault="00605D94" w:rsidP="00605D94">
            <w:pPr>
              <w:spacing w:after="0" w:line="240" w:lineRule="auto"/>
              <w:rPr>
                <w:rFonts w:ascii="Times New Roman" w:eastAsia="Times New Roman" w:hAnsi="Times New Roman" w:cs="Times New Roman"/>
                <w:b/>
                <w:bCs/>
                <w:color w:val="000000"/>
                <w:sz w:val="18"/>
                <w:szCs w:val="18"/>
                <w:lang w:eastAsia="tr-TR"/>
              </w:rPr>
            </w:pPr>
          </w:p>
        </w:tc>
        <w:tc>
          <w:tcPr>
            <w:tcW w:w="99" w:type="dxa"/>
            <w:tcBorders>
              <w:top w:val="nil"/>
              <w:left w:val="nil"/>
              <w:bottom w:val="nil"/>
              <w:right w:val="nil"/>
            </w:tcBorders>
            <w:shd w:val="clear" w:color="auto" w:fill="auto"/>
            <w:noWrap/>
            <w:vAlign w:val="bottom"/>
            <w:hideMark/>
          </w:tcPr>
          <w:p w14:paraId="6FD28682" w14:textId="77777777" w:rsidR="00605D94" w:rsidRPr="00605D94" w:rsidRDefault="00605D94" w:rsidP="00605D94">
            <w:pPr>
              <w:spacing w:after="0" w:line="240" w:lineRule="auto"/>
              <w:jc w:val="center"/>
              <w:rPr>
                <w:rFonts w:ascii="Times New Roman" w:eastAsia="Times New Roman" w:hAnsi="Times New Roman" w:cs="Times New Roman"/>
                <w:b/>
                <w:bCs/>
                <w:color w:val="000000"/>
                <w:sz w:val="18"/>
                <w:szCs w:val="18"/>
                <w:lang w:eastAsia="tr-TR"/>
              </w:rPr>
            </w:pPr>
          </w:p>
        </w:tc>
      </w:tr>
      <w:tr w:rsidR="00605D94" w:rsidRPr="00605D94" w14:paraId="549519DB" w14:textId="77777777" w:rsidTr="00605D94">
        <w:trPr>
          <w:trHeight w:val="263"/>
        </w:trPr>
        <w:tc>
          <w:tcPr>
            <w:tcW w:w="989" w:type="dxa"/>
            <w:tcBorders>
              <w:top w:val="nil"/>
              <w:left w:val="single" w:sz="4" w:space="0" w:color="auto"/>
              <w:bottom w:val="single" w:sz="4" w:space="0" w:color="auto"/>
              <w:right w:val="single" w:sz="4" w:space="0" w:color="auto"/>
            </w:tcBorders>
            <w:shd w:val="clear" w:color="auto" w:fill="auto"/>
            <w:noWrap/>
            <w:vAlign w:val="center"/>
            <w:hideMark/>
          </w:tcPr>
          <w:p w14:paraId="77042524" w14:textId="77777777" w:rsidR="00605D94" w:rsidRPr="00605D94" w:rsidRDefault="00605D94" w:rsidP="00605D94">
            <w:pPr>
              <w:spacing w:after="0" w:line="240" w:lineRule="auto"/>
              <w:jc w:val="center"/>
              <w:rPr>
                <w:rFonts w:ascii="Times New Roman" w:eastAsia="Times New Roman" w:hAnsi="Times New Roman" w:cs="Times New Roman"/>
                <w:b/>
                <w:bCs/>
                <w:color w:val="000000"/>
                <w:sz w:val="18"/>
                <w:szCs w:val="18"/>
                <w:lang w:eastAsia="tr-TR"/>
              </w:rPr>
            </w:pPr>
            <w:r w:rsidRPr="00605D94">
              <w:rPr>
                <w:rFonts w:ascii="Times New Roman" w:eastAsia="Times New Roman" w:hAnsi="Times New Roman" w:cs="Times New Roman"/>
                <w:b/>
                <w:bCs/>
                <w:color w:val="000000"/>
                <w:sz w:val="18"/>
                <w:szCs w:val="18"/>
                <w:lang w:eastAsia="tr-TR"/>
              </w:rPr>
              <w:t>2023</w:t>
            </w:r>
          </w:p>
        </w:tc>
        <w:tc>
          <w:tcPr>
            <w:tcW w:w="854" w:type="dxa"/>
            <w:tcBorders>
              <w:top w:val="nil"/>
              <w:left w:val="nil"/>
              <w:bottom w:val="single" w:sz="4" w:space="0" w:color="auto"/>
              <w:right w:val="single" w:sz="4" w:space="0" w:color="auto"/>
            </w:tcBorders>
            <w:shd w:val="clear" w:color="auto" w:fill="auto"/>
            <w:noWrap/>
            <w:vAlign w:val="center"/>
            <w:hideMark/>
          </w:tcPr>
          <w:p w14:paraId="7511D8D3" w14:textId="77777777" w:rsidR="00605D94" w:rsidRPr="00605D94" w:rsidRDefault="00605D94" w:rsidP="00605D94">
            <w:pPr>
              <w:spacing w:after="0" w:line="240" w:lineRule="auto"/>
              <w:jc w:val="right"/>
              <w:rPr>
                <w:rFonts w:ascii="Times New Roman" w:eastAsia="Times New Roman" w:hAnsi="Times New Roman" w:cs="Times New Roman"/>
                <w:b/>
                <w:bCs/>
                <w:color w:val="000000"/>
                <w:sz w:val="18"/>
                <w:szCs w:val="18"/>
                <w:lang w:eastAsia="tr-TR"/>
              </w:rPr>
            </w:pPr>
            <w:r w:rsidRPr="00605D94">
              <w:rPr>
                <w:rFonts w:ascii="Times New Roman" w:eastAsia="Times New Roman" w:hAnsi="Times New Roman" w:cs="Times New Roman"/>
                <w:b/>
                <w:bCs/>
                <w:color w:val="000000"/>
                <w:sz w:val="18"/>
                <w:szCs w:val="18"/>
                <w:lang w:eastAsia="tr-TR"/>
              </w:rPr>
              <w:t>-7,05</w:t>
            </w:r>
          </w:p>
        </w:tc>
        <w:tc>
          <w:tcPr>
            <w:tcW w:w="1112" w:type="dxa"/>
            <w:tcBorders>
              <w:top w:val="nil"/>
              <w:left w:val="nil"/>
              <w:bottom w:val="single" w:sz="4" w:space="0" w:color="auto"/>
              <w:right w:val="single" w:sz="4" w:space="0" w:color="auto"/>
            </w:tcBorders>
            <w:shd w:val="clear" w:color="auto" w:fill="auto"/>
            <w:noWrap/>
            <w:vAlign w:val="center"/>
            <w:hideMark/>
          </w:tcPr>
          <w:p w14:paraId="48B81581" w14:textId="77777777" w:rsidR="00605D94" w:rsidRPr="00605D94" w:rsidRDefault="00605D94" w:rsidP="00605D94">
            <w:pPr>
              <w:spacing w:after="0" w:line="240" w:lineRule="auto"/>
              <w:jc w:val="right"/>
              <w:rPr>
                <w:rFonts w:ascii="Times New Roman" w:eastAsia="Times New Roman" w:hAnsi="Times New Roman" w:cs="Times New Roman"/>
                <w:b/>
                <w:bCs/>
                <w:color w:val="000000"/>
                <w:sz w:val="18"/>
                <w:szCs w:val="18"/>
                <w:lang w:eastAsia="tr-TR"/>
              </w:rPr>
            </w:pPr>
            <w:r w:rsidRPr="00605D94">
              <w:rPr>
                <w:rFonts w:ascii="Times New Roman" w:eastAsia="Times New Roman" w:hAnsi="Times New Roman" w:cs="Times New Roman"/>
                <w:b/>
                <w:bCs/>
                <w:color w:val="000000"/>
                <w:sz w:val="18"/>
                <w:szCs w:val="18"/>
                <w:lang w:eastAsia="tr-TR"/>
              </w:rPr>
              <w:t>-0,26</w:t>
            </w:r>
          </w:p>
        </w:tc>
        <w:tc>
          <w:tcPr>
            <w:tcW w:w="1125" w:type="dxa"/>
            <w:tcBorders>
              <w:top w:val="nil"/>
              <w:left w:val="nil"/>
              <w:bottom w:val="single" w:sz="4" w:space="0" w:color="auto"/>
              <w:right w:val="single" w:sz="4" w:space="0" w:color="auto"/>
            </w:tcBorders>
            <w:shd w:val="clear" w:color="auto" w:fill="auto"/>
            <w:noWrap/>
            <w:vAlign w:val="center"/>
            <w:hideMark/>
          </w:tcPr>
          <w:p w14:paraId="591DE3A2" w14:textId="77777777" w:rsidR="00605D94" w:rsidRPr="00605D94" w:rsidRDefault="00605D94" w:rsidP="00605D94">
            <w:pPr>
              <w:spacing w:after="0" w:line="240" w:lineRule="auto"/>
              <w:jc w:val="right"/>
              <w:rPr>
                <w:rFonts w:ascii="Times New Roman" w:eastAsia="Times New Roman" w:hAnsi="Times New Roman" w:cs="Times New Roman"/>
                <w:b/>
                <w:bCs/>
                <w:color w:val="000000"/>
                <w:sz w:val="18"/>
                <w:szCs w:val="18"/>
                <w:lang w:eastAsia="tr-TR"/>
              </w:rPr>
            </w:pPr>
            <w:r w:rsidRPr="00605D94">
              <w:rPr>
                <w:rFonts w:ascii="Times New Roman" w:eastAsia="Times New Roman" w:hAnsi="Times New Roman" w:cs="Times New Roman"/>
                <w:b/>
                <w:bCs/>
                <w:color w:val="000000"/>
                <w:sz w:val="18"/>
                <w:szCs w:val="18"/>
                <w:lang w:eastAsia="tr-TR"/>
              </w:rPr>
              <w:t>3,99</w:t>
            </w:r>
          </w:p>
        </w:tc>
        <w:tc>
          <w:tcPr>
            <w:tcW w:w="1273" w:type="dxa"/>
            <w:tcBorders>
              <w:top w:val="nil"/>
              <w:left w:val="nil"/>
              <w:bottom w:val="single" w:sz="4" w:space="0" w:color="auto"/>
              <w:right w:val="single" w:sz="4" w:space="0" w:color="auto"/>
            </w:tcBorders>
            <w:shd w:val="clear" w:color="auto" w:fill="auto"/>
            <w:noWrap/>
            <w:vAlign w:val="center"/>
            <w:hideMark/>
          </w:tcPr>
          <w:p w14:paraId="6AB29BA9" w14:textId="77777777" w:rsidR="00605D94" w:rsidRPr="00605D94" w:rsidRDefault="00605D94" w:rsidP="00605D94">
            <w:pPr>
              <w:spacing w:after="0" w:line="240" w:lineRule="auto"/>
              <w:jc w:val="right"/>
              <w:rPr>
                <w:rFonts w:ascii="Times New Roman" w:eastAsia="Times New Roman" w:hAnsi="Times New Roman" w:cs="Times New Roman"/>
                <w:b/>
                <w:bCs/>
                <w:color w:val="000000"/>
                <w:sz w:val="18"/>
                <w:szCs w:val="18"/>
                <w:lang w:eastAsia="tr-TR"/>
              </w:rPr>
            </w:pPr>
            <w:r w:rsidRPr="00605D94">
              <w:rPr>
                <w:rFonts w:ascii="Times New Roman" w:eastAsia="Times New Roman" w:hAnsi="Times New Roman" w:cs="Times New Roman"/>
                <w:b/>
                <w:bCs/>
                <w:color w:val="000000"/>
                <w:sz w:val="18"/>
                <w:szCs w:val="18"/>
                <w:lang w:eastAsia="tr-TR"/>
              </w:rPr>
              <w:t>2,49</w:t>
            </w:r>
          </w:p>
        </w:tc>
        <w:tc>
          <w:tcPr>
            <w:tcW w:w="1328" w:type="dxa"/>
            <w:tcBorders>
              <w:top w:val="nil"/>
              <w:left w:val="nil"/>
              <w:bottom w:val="single" w:sz="4" w:space="0" w:color="auto"/>
              <w:right w:val="single" w:sz="4" w:space="0" w:color="auto"/>
            </w:tcBorders>
            <w:shd w:val="clear" w:color="auto" w:fill="auto"/>
            <w:noWrap/>
            <w:vAlign w:val="center"/>
            <w:hideMark/>
          </w:tcPr>
          <w:p w14:paraId="610A8C1E" w14:textId="77777777" w:rsidR="00605D94" w:rsidRPr="00605D94" w:rsidRDefault="00605D94" w:rsidP="00605D94">
            <w:pPr>
              <w:spacing w:after="0" w:line="240" w:lineRule="auto"/>
              <w:jc w:val="right"/>
              <w:rPr>
                <w:rFonts w:ascii="Times New Roman" w:eastAsia="Times New Roman" w:hAnsi="Times New Roman" w:cs="Times New Roman"/>
                <w:b/>
                <w:bCs/>
                <w:color w:val="000000"/>
                <w:sz w:val="18"/>
                <w:szCs w:val="18"/>
                <w:lang w:eastAsia="tr-TR"/>
              </w:rPr>
            </w:pPr>
            <w:r w:rsidRPr="00605D94">
              <w:rPr>
                <w:rFonts w:ascii="Times New Roman" w:eastAsia="Times New Roman" w:hAnsi="Times New Roman" w:cs="Times New Roman"/>
                <w:b/>
                <w:bCs/>
                <w:color w:val="000000"/>
                <w:sz w:val="18"/>
                <w:szCs w:val="18"/>
                <w:lang w:eastAsia="tr-TR"/>
              </w:rPr>
              <w:t>2,00</w:t>
            </w:r>
          </w:p>
        </w:tc>
        <w:tc>
          <w:tcPr>
            <w:tcW w:w="1043" w:type="dxa"/>
            <w:tcBorders>
              <w:top w:val="nil"/>
              <w:left w:val="nil"/>
              <w:bottom w:val="single" w:sz="4" w:space="0" w:color="auto"/>
              <w:right w:val="single" w:sz="4" w:space="0" w:color="auto"/>
            </w:tcBorders>
            <w:shd w:val="clear" w:color="auto" w:fill="auto"/>
            <w:noWrap/>
            <w:vAlign w:val="center"/>
            <w:hideMark/>
          </w:tcPr>
          <w:p w14:paraId="6CAE400D" w14:textId="77777777" w:rsidR="00605D94" w:rsidRPr="00605D94" w:rsidRDefault="00605D94" w:rsidP="00605D94">
            <w:pPr>
              <w:spacing w:after="0" w:line="240" w:lineRule="auto"/>
              <w:jc w:val="right"/>
              <w:rPr>
                <w:rFonts w:ascii="Times New Roman" w:eastAsia="Times New Roman" w:hAnsi="Times New Roman" w:cs="Times New Roman"/>
                <w:b/>
                <w:bCs/>
                <w:color w:val="000000"/>
                <w:sz w:val="18"/>
                <w:szCs w:val="18"/>
                <w:lang w:eastAsia="tr-TR"/>
              </w:rPr>
            </w:pPr>
            <w:r w:rsidRPr="00605D94">
              <w:rPr>
                <w:rFonts w:ascii="Times New Roman" w:eastAsia="Times New Roman" w:hAnsi="Times New Roman" w:cs="Times New Roman"/>
                <w:b/>
                <w:bCs/>
                <w:color w:val="000000"/>
                <w:sz w:val="18"/>
                <w:szCs w:val="18"/>
                <w:lang w:eastAsia="tr-TR"/>
              </w:rPr>
              <w:t>-0,13</w:t>
            </w:r>
          </w:p>
        </w:tc>
        <w:tc>
          <w:tcPr>
            <w:tcW w:w="1288" w:type="dxa"/>
            <w:tcBorders>
              <w:top w:val="nil"/>
              <w:left w:val="nil"/>
              <w:bottom w:val="single" w:sz="4" w:space="0" w:color="auto"/>
              <w:right w:val="single" w:sz="4" w:space="0" w:color="auto"/>
            </w:tcBorders>
            <w:shd w:val="clear" w:color="auto" w:fill="auto"/>
            <w:noWrap/>
            <w:vAlign w:val="center"/>
            <w:hideMark/>
          </w:tcPr>
          <w:p w14:paraId="73DC14CD" w14:textId="77777777" w:rsidR="00605D94" w:rsidRPr="00605D94" w:rsidRDefault="00605D94" w:rsidP="00605D94">
            <w:pPr>
              <w:spacing w:after="0" w:line="240" w:lineRule="auto"/>
              <w:jc w:val="right"/>
              <w:rPr>
                <w:rFonts w:ascii="Times New Roman" w:eastAsia="Times New Roman" w:hAnsi="Times New Roman" w:cs="Times New Roman"/>
                <w:b/>
                <w:bCs/>
                <w:color w:val="000000"/>
                <w:sz w:val="18"/>
                <w:szCs w:val="18"/>
                <w:lang w:eastAsia="tr-TR"/>
              </w:rPr>
            </w:pPr>
            <w:r w:rsidRPr="00605D94">
              <w:rPr>
                <w:rFonts w:ascii="Times New Roman" w:eastAsia="Times New Roman" w:hAnsi="Times New Roman" w:cs="Times New Roman"/>
                <w:b/>
                <w:bCs/>
                <w:color w:val="000000"/>
                <w:sz w:val="18"/>
                <w:szCs w:val="18"/>
                <w:lang w:eastAsia="tr-TR"/>
              </w:rPr>
              <w:t>493.687.819,81</w:t>
            </w:r>
          </w:p>
        </w:tc>
        <w:tc>
          <w:tcPr>
            <w:tcW w:w="99" w:type="dxa"/>
            <w:vAlign w:val="center"/>
            <w:hideMark/>
          </w:tcPr>
          <w:p w14:paraId="5D16F3D5" w14:textId="77777777" w:rsidR="00605D94" w:rsidRPr="00605D94" w:rsidRDefault="00605D94" w:rsidP="00605D94">
            <w:pPr>
              <w:spacing w:after="0" w:line="240" w:lineRule="auto"/>
              <w:rPr>
                <w:rFonts w:ascii="Times New Roman" w:eastAsia="Times New Roman" w:hAnsi="Times New Roman" w:cs="Times New Roman"/>
                <w:sz w:val="20"/>
                <w:szCs w:val="20"/>
                <w:lang w:eastAsia="tr-TR"/>
              </w:rPr>
            </w:pPr>
          </w:p>
        </w:tc>
      </w:tr>
      <w:tr w:rsidR="00605D94" w:rsidRPr="00605D94" w14:paraId="0BFBEFAA" w14:textId="77777777" w:rsidTr="00605D94">
        <w:trPr>
          <w:trHeight w:val="263"/>
        </w:trPr>
        <w:tc>
          <w:tcPr>
            <w:tcW w:w="989" w:type="dxa"/>
            <w:tcBorders>
              <w:top w:val="nil"/>
              <w:left w:val="single" w:sz="4" w:space="0" w:color="auto"/>
              <w:bottom w:val="single" w:sz="4" w:space="0" w:color="auto"/>
              <w:right w:val="single" w:sz="4" w:space="0" w:color="auto"/>
            </w:tcBorders>
            <w:shd w:val="clear" w:color="auto" w:fill="auto"/>
            <w:noWrap/>
            <w:vAlign w:val="center"/>
            <w:hideMark/>
          </w:tcPr>
          <w:p w14:paraId="770DBA7A" w14:textId="045C9940" w:rsidR="00605D94" w:rsidRPr="00605D94" w:rsidRDefault="00605D94" w:rsidP="00605D94">
            <w:pPr>
              <w:spacing w:after="0" w:line="240" w:lineRule="auto"/>
              <w:jc w:val="center"/>
              <w:rPr>
                <w:rFonts w:ascii="Times New Roman" w:eastAsia="Times New Roman" w:hAnsi="Times New Roman" w:cs="Times New Roman"/>
                <w:b/>
                <w:bCs/>
                <w:color w:val="000000"/>
                <w:sz w:val="18"/>
                <w:szCs w:val="18"/>
                <w:lang w:eastAsia="tr-TR"/>
              </w:rPr>
            </w:pPr>
            <w:r w:rsidRPr="00605D94">
              <w:rPr>
                <w:rFonts w:ascii="Times New Roman" w:eastAsia="Times New Roman" w:hAnsi="Times New Roman" w:cs="Times New Roman"/>
                <w:b/>
                <w:bCs/>
                <w:color w:val="000000"/>
                <w:sz w:val="18"/>
                <w:szCs w:val="18"/>
                <w:lang w:eastAsia="tr-TR"/>
              </w:rPr>
              <w:t>2024</w:t>
            </w:r>
            <w:r>
              <w:rPr>
                <w:rFonts w:ascii="Times New Roman" w:eastAsia="Times New Roman" w:hAnsi="Times New Roman" w:cs="Times New Roman"/>
                <w:b/>
                <w:bCs/>
                <w:color w:val="000000"/>
                <w:sz w:val="18"/>
                <w:szCs w:val="18"/>
                <w:lang w:eastAsia="tr-TR"/>
              </w:rPr>
              <w:t>***</w:t>
            </w:r>
          </w:p>
        </w:tc>
        <w:tc>
          <w:tcPr>
            <w:tcW w:w="854" w:type="dxa"/>
            <w:tcBorders>
              <w:top w:val="nil"/>
              <w:left w:val="nil"/>
              <w:bottom w:val="single" w:sz="4" w:space="0" w:color="auto"/>
              <w:right w:val="single" w:sz="4" w:space="0" w:color="auto"/>
            </w:tcBorders>
            <w:shd w:val="clear" w:color="auto" w:fill="auto"/>
            <w:noWrap/>
            <w:vAlign w:val="center"/>
            <w:hideMark/>
          </w:tcPr>
          <w:p w14:paraId="64B7C4F1" w14:textId="77777777" w:rsidR="00605D94" w:rsidRPr="00605D94" w:rsidRDefault="00605D94" w:rsidP="00605D94">
            <w:pPr>
              <w:spacing w:after="0" w:line="240" w:lineRule="auto"/>
              <w:jc w:val="right"/>
              <w:rPr>
                <w:rFonts w:ascii="Times New Roman" w:eastAsia="Times New Roman" w:hAnsi="Times New Roman" w:cs="Times New Roman"/>
                <w:b/>
                <w:bCs/>
                <w:color w:val="000000"/>
                <w:sz w:val="18"/>
                <w:szCs w:val="18"/>
                <w:lang w:eastAsia="tr-TR"/>
              </w:rPr>
            </w:pPr>
            <w:r w:rsidRPr="00605D94">
              <w:rPr>
                <w:rFonts w:ascii="Times New Roman" w:eastAsia="Times New Roman" w:hAnsi="Times New Roman" w:cs="Times New Roman"/>
                <w:b/>
                <w:bCs/>
                <w:color w:val="000000"/>
                <w:sz w:val="18"/>
                <w:szCs w:val="18"/>
                <w:lang w:eastAsia="tr-TR"/>
              </w:rPr>
              <w:t>54,24</w:t>
            </w:r>
          </w:p>
        </w:tc>
        <w:tc>
          <w:tcPr>
            <w:tcW w:w="1112" w:type="dxa"/>
            <w:tcBorders>
              <w:top w:val="nil"/>
              <w:left w:val="nil"/>
              <w:bottom w:val="single" w:sz="4" w:space="0" w:color="auto"/>
              <w:right w:val="single" w:sz="4" w:space="0" w:color="auto"/>
            </w:tcBorders>
            <w:shd w:val="clear" w:color="auto" w:fill="auto"/>
            <w:noWrap/>
            <w:vAlign w:val="center"/>
            <w:hideMark/>
          </w:tcPr>
          <w:p w14:paraId="790B3DAB" w14:textId="77777777" w:rsidR="00605D94" w:rsidRPr="00605D94" w:rsidRDefault="00605D94" w:rsidP="00605D94">
            <w:pPr>
              <w:spacing w:after="0" w:line="240" w:lineRule="auto"/>
              <w:jc w:val="right"/>
              <w:rPr>
                <w:rFonts w:ascii="Times New Roman" w:eastAsia="Times New Roman" w:hAnsi="Times New Roman" w:cs="Times New Roman"/>
                <w:b/>
                <w:bCs/>
                <w:color w:val="000000"/>
                <w:sz w:val="18"/>
                <w:szCs w:val="18"/>
                <w:lang w:eastAsia="tr-TR"/>
              </w:rPr>
            </w:pPr>
            <w:r w:rsidRPr="00605D94">
              <w:rPr>
                <w:rFonts w:ascii="Times New Roman" w:eastAsia="Times New Roman" w:hAnsi="Times New Roman" w:cs="Times New Roman"/>
                <w:b/>
                <w:bCs/>
                <w:color w:val="000000"/>
                <w:sz w:val="18"/>
                <w:szCs w:val="18"/>
                <w:lang w:eastAsia="tr-TR"/>
              </w:rPr>
              <w:t>44,89</w:t>
            </w:r>
          </w:p>
        </w:tc>
        <w:tc>
          <w:tcPr>
            <w:tcW w:w="1125" w:type="dxa"/>
            <w:tcBorders>
              <w:top w:val="nil"/>
              <w:left w:val="nil"/>
              <w:bottom w:val="single" w:sz="4" w:space="0" w:color="auto"/>
              <w:right w:val="single" w:sz="4" w:space="0" w:color="auto"/>
            </w:tcBorders>
            <w:shd w:val="clear" w:color="auto" w:fill="auto"/>
            <w:noWrap/>
            <w:vAlign w:val="center"/>
            <w:hideMark/>
          </w:tcPr>
          <w:p w14:paraId="3F49CD72" w14:textId="77777777" w:rsidR="00605D94" w:rsidRPr="00605D94" w:rsidRDefault="00605D94" w:rsidP="00605D94">
            <w:pPr>
              <w:spacing w:after="0" w:line="240" w:lineRule="auto"/>
              <w:jc w:val="right"/>
              <w:rPr>
                <w:rFonts w:ascii="Times New Roman" w:eastAsia="Times New Roman" w:hAnsi="Times New Roman" w:cs="Times New Roman"/>
                <w:b/>
                <w:bCs/>
                <w:color w:val="000000"/>
                <w:sz w:val="18"/>
                <w:szCs w:val="18"/>
                <w:lang w:eastAsia="tr-TR"/>
              </w:rPr>
            </w:pPr>
            <w:r w:rsidRPr="00605D94">
              <w:rPr>
                <w:rFonts w:ascii="Times New Roman" w:eastAsia="Times New Roman" w:hAnsi="Times New Roman" w:cs="Times New Roman"/>
                <w:b/>
                <w:bCs/>
                <w:color w:val="000000"/>
                <w:sz w:val="18"/>
                <w:szCs w:val="18"/>
                <w:lang w:eastAsia="tr-TR"/>
              </w:rPr>
              <w:t>19,49</w:t>
            </w:r>
          </w:p>
        </w:tc>
        <w:tc>
          <w:tcPr>
            <w:tcW w:w="1273" w:type="dxa"/>
            <w:tcBorders>
              <w:top w:val="nil"/>
              <w:left w:val="nil"/>
              <w:bottom w:val="single" w:sz="4" w:space="0" w:color="auto"/>
              <w:right w:val="single" w:sz="4" w:space="0" w:color="auto"/>
            </w:tcBorders>
            <w:shd w:val="clear" w:color="auto" w:fill="auto"/>
            <w:noWrap/>
            <w:vAlign w:val="center"/>
            <w:hideMark/>
          </w:tcPr>
          <w:p w14:paraId="0D5B5FDD" w14:textId="77777777" w:rsidR="00605D94" w:rsidRPr="00605D94" w:rsidRDefault="00605D94" w:rsidP="00605D94">
            <w:pPr>
              <w:spacing w:after="0" w:line="240" w:lineRule="auto"/>
              <w:jc w:val="right"/>
              <w:rPr>
                <w:rFonts w:ascii="Times New Roman" w:eastAsia="Times New Roman" w:hAnsi="Times New Roman" w:cs="Times New Roman"/>
                <w:b/>
                <w:bCs/>
                <w:color w:val="000000"/>
                <w:sz w:val="18"/>
                <w:szCs w:val="18"/>
                <w:lang w:eastAsia="tr-TR"/>
              </w:rPr>
            </w:pPr>
            <w:r w:rsidRPr="00605D94">
              <w:rPr>
                <w:rFonts w:ascii="Times New Roman" w:eastAsia="Times New Roman" w:hAnsi="Times New Roman" w:cs="Times New Roman"/>
                <w:b/>
                <w:bCs/>
                <w:color w:val="000000"/>
                <w:sz w:val="18"/>
                <w:szCs w:val="18"/>
                <w:lang w:eastAsia="tr-TR"/>
              </w:rPr>
              <w:t>1,61</w:t>
            </w:r>
          </w:p>
        </w:tc>
        <w:tc>
          <w:tcPr>
            <w:tcW w:w="1328" w:type="dxa"/>
            <w:tcBorders>
              <w:top w:val="nil"/>
              <w:left w:val="nil"/>
              <w:bottom w:val="single" w:sz="4" w:space="0" w:color="auto"/>
              <w:right w:val="single" w:sz="4" w:space="0" w:color="auto"/>
            </w:tcBorders>
            <w:shd w:val="clear" w:color="auto" w:fill="auto"/>
            <w:noWrap/>
            <w:vAlign w:val="center"/>
            <w:hideMark/>
          </w:tcPr>
          <w:p w14:paraId="057965C6" w14:textId="77777777" w:rsidR="00605D94" w:rsidRPr="00605D94" w:rsidRDefault="00605D94" w:rsidP="00605D94">
            <w:pPr>
              <w:spacing w:after="0" w:line="240" w:lineRule="auto"/>
              <w:jc w:val="right"/>
              <w:rPr>
                <w:rFonts w:ascii="Times New Roman" w:eastAsia="Times New Roman" w:hAnsi="Times New Roman" w:cs="Times New Roman"/>
                <w:b/>
                <w:bCs/>
                <w:color w:val="000000"/>
                <w:sz w:val="18"/>
                <w:szCs w:val="18"/>
                <w:lang w:eastAsia="tr-TR"/>
              </w:rPr>
            </w:pPr>
            <w:r w:rsidRPr="00605D94">
              <w:rPr>
                <w:rFonts w:ascii="Times New Roman" w:eastAsia="Times New Roman" w:hAnsi="Times New Roman" w:cs="Times New Roman"/>
                <w:b/>
                <w:bCs/>
                <w:color w:val="000000"/>
                <w:sz w:val="18"/>
                <w:szCs w:val="18"/>
                <w:lang w:eastAsia="tr-TR"/>
              </w:rPr>
              <w:t>1,36</w:t>
            </w:r>
          </w:p>
        </w:tc>
        <w:tc>
          <w:tcPr>
            <w:tcW w:w="1043" w:type="dxa"/>
            <w:tcBorders>
              <w:top w:val="nil"/>
              <w:left w:val="nil"/>
              <w:bottom w:val="single" w:sz="4" w:space="0" w:color="auto"/>
              <w:right w:val="single" w:sz="4" w:space="0" w:color="auto"/>
            </w:tcBorders>
            <w:shd w:val="clear" w:color="auto" w:fill="auto"/>
            <w:noWrap/>
            <w:vAlign w:val="center"/>
            <w:hideMark/>
          </w:tcPr>
          <w:p w14:paraId="1D421128" w14:textId="77777777" w:rsidR="00605D94" w:rsidRPr="00605D94" w:rsidRDefault="00605D94" w:rsidP="00605D94">
            <w:pPr>
              <w:spacing w:after="0" w:line="240" w:lineRule="auto"/>
              <w:jc w:val="right"/>
              <w:rPr>
                <w:rFonts w:ascii="Times New Roman" w:eastAsia="Times New Roman" w:hAnsi="Times New Roman" w:cs="Times New Roman"/>
                <w:b/>
                <w:bCs/>
                <w:color w:val="000000"/>
                <w:sz w:val="18"/>
                <w:szCs w:val="18"/>
                <w:lang w:eastAsia="tr-TR"/>
              </w:rPr>
            </w:pPr>
            <w:r w:rsidRPr="00605D94">
              <w:rPr>
                <w:rFonts w:ascii="Times New Roman" w:eastAsia="Times New Roman" w:hAnsi="Times New Roman" w:cs="Times New Roman"/>
                <w:b/>
                <w:bCs/>
                <w:color w:val="000000"/>
                <w:sz w:val="18"/>
                <w:szCs w:val="18"/>
                <w:lang w:eastAsia="tr-TR"/>
              </w:rPr>
              <w:t>0,06</w:t>
            </w:r>
          </w:p>
        </w:tc>
        <w:tc>
          <w:tcPr>
            <w:tcW w:w="1288" w:type="dxa"/>
            <w:tcBorders>
              <w:top w:val="nil"/>
              <w:left w:val="nil"/>
              <w:bottom w:val="single" w:sz="4" w:space="0" w:color="auto"/>
              <w:right w:val="single" w:sz="4" w:space="0" w:color="auto"/>
            </w:tcBorders>
            <w:shd w:val="clear" w:color="auto" w:fill="auto"/>
            <w:noWrap/>
            <w:vAlign w:val="center"/>
            <w:hideMark/>
          </w:tcPr>
          <w:p w14:paraId="0A98F62A" w14:textId="77777777" w:rsidR="00605D94" w:rsidRPr="00605D94" w:rsidRDefault="00605D94" w:rsidP="00605D94">
            <w:pPr>
              <w:spacing w:after="0" w:line="240" w:lineRule="auto"/>
              <w:jc w:val="right"/>
              <w:rPr>
                <w:rFonts w:ascii="Times New Roman" w:eastAsia="Times New Roman" w:hAnsi="Times New Roman" w:cs="Times New Roman"/>
                <w:b/>
                <w:bCs/>
                <w:color w:val="000000"/>
                <w:sz w:val="18"/>
                <w:szCs w:val="18"/>
                <w:lang w:eastAsia="tr-TR"/>
              </w:rPr>
            </w:pPr>
            <w:r w:rsidRPr="00605D94">
              <w:rPr>
                <w:rFonts w:ascii="Times New Roman" w:eastAsia="Times New Roman" w:hAnsi="Times New Roman" w:cs="Times New Roman"/>
                <w:b/>
                <w:bCs/>
                <w:color w:val="000000"/>
                <w:sz w:val="18"/>
                <w:szCs w:val="18"/>
                <w:lang w:eastAsia="tr-TR"/>
              </w:rPr>
              <w:t>699.562.089,25</w:t>
            </w:r>
          </w:p>
        </w:tc>
        <w:tc>
          <w:tcPr>
            <w:tcW w:w="99" w:type="dxa"/>
            <w:vAlign w:val="center"/>
            <w:hideMark/>
          </w:tcPr>
          <w:p w14:paraId="29285970" w14:textId="77777777" w:rsidR="00605D94" w:rsidRPr="00605D94" w:rsidRDefault="00605D94" w:rsidP="00605D94">
            <w:pPr>
              <w:spacing w:after="0" w:line="240" w:lineRule="auto"/>
              <w:rPr>
                <w:rFonts w:ascii="Times New Roman" w:eastAsia="Times New Roman" w:hAnsi="Times New Roman" w:cs="Times New Roman"/>
                <w:sz w:val="20"/>
                <w:szCs w:val="20"/>
                <w:lang w:eastAsia="tr-TR"/>
              </w:rPr>
            </w:pPr>
          </w:p>
        </w:tc>
      </w:tr>
    </w:tbl>
    <w:p w14:paraId="7A161A44" w14:textId="77777777" w:rsidR="00106889" w:rsidRPr="00C6319A" w:rsidRDefault="00106889" w:rsidP="00032E31">
      <w:pPr>
        <w:spacing w:after="0"/>
        <w:jc w:val="both"/>
        <w:rPr>
          <w:rFonts w:ascii="Times New Roman" w:hAnsi="Times New Roman" w:cs="Times New Roman"/>
          <w:sz w:val="24"/>
          <w:szCs w:val="24"/>
        </w:rPr>
      </w:pPr>
    </w:p>
    <w:p w14:paraId="3CFA9904" w14:textId="65E59DB9" w:rsidR="00621CF3" w:rsidRPr="00C6319A" w:rsidRDefault="00030329" w:rsidP="00032E31">
      <w:pPr>
        <w:spacing w:after="0"/>
        <w:jc w:val="both"/>
        <w:rPr>
          <w:rFonts w:ascii="Times New Roman" w:hAnsi="Times New Roman" w:cs="Times New Roman"/>
          <w:sz w:val="24"/>
          <w:szCs w:val="24"/>
        </w:rPr>
      </w:pPr>
      <w:r w:rsidRPr="00C6319A">
        <w:rPr>
          <w:rFonts w:ascii="Times New Roman" w:hAnsi="Times New Roman" w:cs="Times New Roman"/>
          <w:sz w:val="24"/>
          <w:szCs w:val="24"/>
        </w:rPr>
        <w:t>(*)</w:t>
      </w:r>
      <w:r w:rsidRPr="00C6319A">
        <w:rPr>
          <w:rFonts w:ascii="Times New Roman" w:hAnsi="Times New Roman" w:cs="Times New Roman"/>
          <w:sz w:val="24"/>
          <w:szCs w:val="24"/>
        </w:rPr>
        <w:tab/>
      </w:r>
      <w:r w:rsidR="005C70A1" w:rsidRPr="00C6319A">
        <w:rPr>
          <w:rFonts w:ascii="Times New Roman" w:hAnsi="Times New Roman" w:cs="Times New Roman"/>
          <w:sz w:val="24"/>
          <w:szCs w:val="24"/>
        </w:rPr>
        <w:t>Eşik Değer</w:t>
      </w:r>
      <w:r w:rsidRPr="00BA5438">
        <w:rPr>
          <w:rFonts w:ascii="Times New Roman" w:hAnsi="Times New Roman" w:cs="Times New Roman"/>
          <w:sz w:val="24"/>
          <w:szCs w:val="24"/>
        </w:rPr>
        <w:t xml:space="preserve">: </w:t>
      </w:r>
      <w:r w:rsidR="005D3109">
        <w:t>%</w:t>
      </w:r>
      <w:r w:rsidR="005D3109" w:rsidRPr="005D3109">
        <w:rPr>
          <w:rFonts w:ascii="Times New Roman" w:hAnsi="Times New Roman" w:cs="Times New Roman"/>
          <w:sz w:val="24"/>
          <w:szCs w:val="24"/>
        </w:rPr>
        <w:t>80 BIST 100 Getiri Endeksi + %20 BIST KYD 1 Aylık Mevduat TL Endeksi kullanılacaktır.</w:t>
      </w:r>
    </w:p>
    <w:p w14:paraId="74CD0119" w14:textId="0D71B191" w:rsidR="005F5413" w:rsidRPr="00C6319A" w:rsidRDefault="005F5413" w:rsidP="00032E31">
      <w:pPr>
        <w:spacing w:after="0"/>
        <w:jc w:val="both"/>
        <w:rPr>
          <w:rFonts w:ascii="Times New Roman" w:hAnsi="Times New Roman" w:cs="Times New Roman"/>
          <w:sz w:val="24"/>
          <w:szCs w:val="24"/>
        </w:rPr>
      </w:pPr>
      <w:r w:rsidRPr="00C6319A">
        <w:rPr>
          <w:rFonts w:ascii="Times New Roman" w:hAnsi="Times New Roman" w:cs="Times New Roman"/>
          <w:sz w:val="24"/>
          <w:szCs w:val="24"/>
        </w:rPr>
        <w:t>(**)</w:t>
      </w:r>
      <w:r w:rsidRPr="00C6319A">
        <w:rPr>
          <w:rFonts w:ascii="Times New Roman" w:hAnsi="Times New Roman" w:cs="Times New Roman"/>
          <w:sz w:val="24"/>
          <w:szCs w:val="24"/>
        </w:rPr>
        <w:tab/>
      </w:r>
      <w:r w:rsidR="000333B4" w:rsidRPr="00C6319A">
        <w:rPr>
          <w:rFonts w:ascii="Times New Roman" w:hAnsi="Times New Roman" w:cs="Times New Roman"/>
          <w:sz w:val="24"/>
          <w:szCs w:val="24"/>
        </w:rPr>
        <w:t>Enflasyon oranı T</w:t>
      </w:r>
      <w:r w:rsidR="00747866" w:rsidRPr="00C6319A">
        <w:rPr>
          <w:rFonts w:ascii="Times New Roman" w:hAnsi="Times New Roman" w:cs="Times New Roman"/>
          <w:sz w:val="24"/>
          <w:szCs w:val="24"/>
        </w:rPr>
        <w:t>Ü</w:t>
      </w:r>
      <w:r w:rsidR="000333B4" w:rsidRPr="00C6319A">
        <w:rPr>
          <w:rFonts w:ascii="Times New Roman" w:hAnsi="Times New Roman" w:cs="Times New Roman"/>
          <w:sz w:val="24"/>
          <w:szCs w:val="24"/>
        </w:rPr>
        <w:t xml:space="preserve">İK tarafından açıklanan </w:t>
      </w:r>
      <w:r w:rsidRPr="00C6319A">
        <w:rPr>
          <w:rFonts w:ascii="Times New Roman" w:hAnsi="Times New Roman" w:cs="Times New Roman"/>
          <w:sz w:val="24"/>
          <w:szCs w:val="24"/>
        </w:rPr>
        <w:t>ÜFE</w:t>
      </w:r>
      <w:r w:rsidR="000333B4" w:rsidRPr="00C6319A">
        <w:rPr>
          <w:rFonts w:ascii="Times New Roman" w:hAnsi="Times New Roman" w:cs="Times New Roman"/>
          <w:sz w:val="24"/>
          <w:szCs w:val="24"/>
        </w:rPr>
        <w:t>’nin dönemsel oranıdır.</w:t>
      </w:r>
    </w:p>
    <w:p w14:paraId="77B00355" w14:textId="59C3B25F" w:rsidR="00030329" w:rsidRPr="00C6319A" w:rsidRDefault="005F5413" w:rsidP="00032E31">
      <w:pPr>
        <w:spacing w:after="0"/>
        <w:ind w:left="705" w:hanging="705"/>
        <w:jc w:val="both"/>
        <w:rPr>
          <w:rFonts w:ascii="Times New Roman" w:hAnsi="Times New Roman" w:cs="Times New Roman"/>
          <w:sz w:val="24"/>
          <w:szCs w:val="24"/>
        </w:rPr>
      </w:pPr>
      <w:r w:rsidRPr="00C6319A">
        <w:rPr>
          <w:rFonts w:ascii="Times New Roman" w:hAnsi="Times New Roman" w:cs="Times New Roman"/>
          <w:sz w:val="24"/>
          <w:szCs w:val="24"/>
        </w:rPr>
        <w:t>(***)</w:t>
      </w:r>
      <w:r w:rsidRPr="00C6319A">
        <w:rPr>
          <w:rFonts w:ascii="Times New Roman" w:hAnsi="Times New Roman" w:cs="Times New Roman"/>
          <w:sz w:val="24"/>
          <w:szCs w:val="24"/>
        </w:rPr>
        <w:tab/>
        <w:t xml:space="preserve">Fon’un </w:t>
      </w:r>
      <w:r w:rsidR="00EB152C">
        <w:rPr>
          <w:rFonts w:ascii="Times New Roman" w:hAnsi="Times New Roman" w:cs="Times New Roman"/>
          <w:sz w:val="24"/>
          <w:szCs w:val="24"/>
        </w:rPr>
        <w:t>01</w:t>
      </w:r>
      <w:r w:rsidR="00122D09">
        <w:rPr>
          <w:rFonts w:ascii="Times New Roman" w:hAnsi="Times New Roman" w:cs="Times New Roman"/>
          <w:sz w:val="24"/>
          <w:szCs w:val="24"/>
        </w:rPr>
        <w:t>.0</w:t>
      </w:r>
      <w:r w:rsidR="00EB152C">
        <w:rPr>
          <w:rFonts w:ascii="Times New Roman" w:hAnsi="Times New Roman" w:cs="Times New Roman"/>
          <w:sz w:val="24"/>
          <w:szCs w:val="24"/>
        </w:rPr>
        <w:t>1</w:t>
      </w:r>
      <w:r w:rsidR="009F2ACA" w:rsidRPr="00C6319A">
        <w:rPr>
          <w:rFonts w:ascii="Times New Roman" w:hAnsi="Times New Roman" w:cs="Times New Roman"/>
          <w:sz w:val="24"/>
          <w:szCs w:val="24"/>
        </w:rPr>
        <w:t>.202</w:t>
      </w:r>
      <w:r w:rsidR="00EB152C">
        <w:rPr>
          <w:rFonts w:ascii="Times New Roman" w:hAnsi="Times New Roman" w:cs="Times New Roman"/>
          <w:sz w:val="24"/>
          <w:szCs w:val="24"/>
        </w:rPr>
        <w:t>4</w:t>
      </w:r>
      <w:r w:rsidRPr="00C6319A">
        <w:rPr>
          <w:rFonts w:ascii="Times New Roman" w:hAnsi="Times New Roman" w:cs="Times New Roman"/>
          <w:sz w:val="24"/>
          <w:szCs w:val="24"/>
        </w:rPr>
        <w:t xml:space="preserve"> ile </w:t>
      </w:r>
      <w:r w:rsidR="006247E4">
        <w:rPr>
          <w:rFonts w:ascii="Times New Roman" w:hAnsi="Times New Roman" w:cs="Times New Roman"/>
          <w:sz w:val="24"/>
          <w:szCs w:val="24"/>
        </w:rPr>
        <w:t>3</w:t>
      </w:r>
      <w:r w:rsidR="00747044">
        <w:rPr>
          <w:rFonts w:ascii="Times New Roman" w:hAnsi="Times New Roman" w:cs="Times New Roman"/>
          <w:sz w:val="24"/>
          <w:szCs w:val="24"/>
        </w:rPr>
        <w:t>0</w:t>
      </w:r>
      <w:r w:rsidR="006247E4">
        <w:rPr>
          <w:rFonts w:ascii="Times New Roman" w:hAnsi="Times New Roman" w:cs="Times New Roman"/>
          <w:sz w:val="24"/>
          <w:szCs w:val="24"/>
        </w:rPr>
        <w:t>.</w:t>
      </w:r>
      <w:r w:rsidR="00747044">
        <w:rPr>
          <w:rFonts w:ascii="Times New Roman" w:hAnsi="Times New Roman" w:cs="Times New Roman"/>
          <w:sz w:val="24"/>
          <w:szCs w:val="24"/>
        </w:rPr>
        <w:t>06</w:t>
      </w:r>
      <w:r w:rsidR="003E3013">
        <w:rPr>
          <w:rFonts w:ascii="Times New Roman" w:hAnsi="Times New Roman" w:cs="Times New Roman"/>
          <w:sz w:val="24"/>
          <w:szCs w:val="24"/>
        </w:rPr>
        <w:t>.20</w:t>
      </w:r>
      <w:r w:rsidR="00747044">
        <w:rPr>
          <w:rFonts w:ascii="Times New Roman" w:hAnsi="Times New Roman" w:cs="Times New Roman"/>
          <w:sz w:val="24"/>
          <w:szCs w:val="24"/>
        </w:rPr>
        <w:t>24</w:t>
      </w:r>
      <w:r w:rsidRPr="00C6319A">
        <w:rPr>
          <w:rFonts w:ascii="Times New Roman" w:hAnsi="Times New Roman" w:cs="Times New Roman"/>
          <w:sz w:val="24"/>
          <w:szCs w:val="24"/>
        </w:rPr>
        <w:t xml:space="preserve"> tarihleri arasındaki dönemi kapsamaktadır.</w:t>
      </w:r>
    </w:p>
    <w:p w14:paraId="69E1A96A" w14:textId="77777777" w:rsidR="00BC4211" w:rsidRPr="00C6319A" w:rsidRDefault="00BC4211" w:rsidP="00032E31">
      <w:pPr>
        <w:spacing w:after="0"/>
        <w:ind w:left="705" w:hanging="705"/>
        <w:jc w:val="both"/>
        <w:rPr>
          <w:rFonts w:ascii="Times New Roman" w:hAnsi="Times New Roman" w:cs="Times New Roman"/>
          <w:sz w:val="24"/>
          <w:szCs w:val="24"/>
        </w:rPr>
      </w:pPr>
    </w:p>
    <w:p w14:paraId="112D3129" w14:textId="77777777" w:rsidR="00BC4211" w:rsidRPr="00C6319A" w:rsidRDefault="002E2517" w:rsidP="005F5413">
      <w:pPr>
        <w:spacing w:after="0"/>
        <w:ind w:left="705" w:hanging="705"/>
        <w:rPr>
          <w:rFonts w:ascii="Times New Roman" w:hAnsi="Times New Roman" w:cs="Times New Roman"/>
          <w:b/>
          <w:sz w:val="24"/>
          <w:szCs w:val="24"/>
          <w:u w:val="single"/>
        </w:rPr>
      </w:pPr>
      <w:r w:rsidRPr="00C6319A">
        <w:rPr>
          <w:rFonts w:ascii="Times New Roman" w:hAnsi="Times New Roman" w:cs="Times New Roman"/>
          <w:b/>
          <w:sz w:val="24"/>
          <w:szCs w:val="24"/>
          <w:u w:val="single"/>
          <w:shd w:val="clear" w:color="auto" w:fill="FFFFFF"/>
        </w:rPr>
        <w:t>Portföyün geçmiş performansı gelecek dönem performansı için bir gösterge olamaz.</w:t>
      </w:r>
    </w:p>
    <w:p w14:paraId="4E5D851F" w14:textId="5F2FA8AF" w:rsidR="006858ED" w:rsidRPr="00C6319A" w:rsidRDefault="006858ED" w:rsidP="005F5413">
      <w:pPr>
        <w:spacing w:after="0"/>
        <w:ind w:left="705" w:hanging="705"/>
        <w:rPr>
          <w:rFonts w:ascii="Times New Roman" w:hAnsi="Times New Roman" w:cs="Times New Roman"/>
          <w:sz w:val="24"/>
          <w:szCs w:val="24"/>
        </w:rPr>
      </w:pPr>
    </w:p>
    <w:p w14:paraId="42673976" w14:textId="77777777" w:rsidR="000B5411" w:rsidRDefault="000B5411" w:rsidP="005F5413">
      <w:pPr>
        <w:spacing w:after="0"/>
        <w:ind w:left="705" w:hanging="705"/>
        <w:rPr>
          <w:rFonts w:ascii="Times New Roman" w:hAnsi="Times New Roman" w:cs="Times New Roman"/>
          <w:sz w:val="24"/>
          <w:szCs w:val="24"/>
        </w:rPr>
      </w:pPr>
    </w:p>
    <w:p w14:paraId="00475339" w14:textId="77777777" w:rsidR="00E07EFA" w:rsidRPr="00C6319A" w:rsidRDefault="00E07EFA" w:rsidP="005F5413">
      <w:pPr>
        <w:spacing w:after="0"/>
        <w:ind w:left="705" w:hanging="705"/>
        <w:rPr>
          <w:rFonts w:ascii="Times New Roman" w:hAnsi="Times New Roman" w:cs="Times New Roman"/>
          <w:sz w:val="24"/>
          <w:szCs w:val="24"/>
        </w:rPr>
      </w:pPr>
    </w:p>
    <w:p w14:paraId="586855A8" w14:textId="77777777" w:rsidR="00BC4211" w:rsidRPr="00C6319A" w:rsidRDefault="00BC4211" w:rsidP="00BC4211">
      <w:pPr>
        <w:pStyle w:val="ListeParagraf"/>
        <w:numPr>
          <w:ilvl w:val="0"/>
          <w:numId w:val="1"/>
        </w:numPr>
        <w:spacing w:after="0"/>
        <w:rPr>
          <w:rFonts w:ascii="Times New Roman" w:hAnsi="Times New Roman" w:cs="Times New Roman"/>
          <w:b/>
          <w:sz w:val="24"/>
          <w:szCs w:val="24"/>
        </w:rPr>
      </w:pPr>
      <w:r w:rsidRPr="00C6319A">
        <w:rPr>
          <w:rFonts w:ascii="Times New Roman" w:hAnsi="Times New Roman" w:cs="Times New Roman"/>
          <w:b/>
          <w:sz w:val="24"/>
          <w:szCs w:val="24"/>
        </w:rPr>
        <w:lastRenderedPageBreak/>
        <w:t>DİPNOTLAR</w:t>
      </w:r>
    </w:p>
    <w:p w14:paraId="35AAFA9A" w14:textId="77777777" w:rsidR="00596C79" w:rsidRPr="00C6319A" w:rsidRDefault="00596C79" w:rsidP="00596C79">
      <w:pPr>
        <w:pStyle w:val="ListeParagraf"/>
        <w:spacing w:after="0"/>
        <w:rPr>
          <w:rFonts w:ascii="Times New Roman" w:hAnsi="Times New Roman" w:cs="Times New Roman"/>
          <w:b/>
          <w:sz w:val="24"/>
          <w:szCs w:val="24"/>
        </w:rPr>
      </w:pPr>
    </w:p>
    <w:p w14:paraId="7FADA00C" w14:textId="11357C02" w:rsidR="00247232" w:rsidRDefault="008B3B38" w:rsidP="00247232">
      <w:pPr>
        <w:pStyle w:val="ListeParagraf"/>
        <w:numPr>
          <w:ilvl w:val="0"/>
          <w:numId w:val="6"/>
        </w:numPr>
        <w:spacing w:after="0"/>
        <w:jc w:val="both"/>
        <w:rPr>
          <w:rFonts w:ascii="Times New Roman" w:hAnsi="Times New Roman" w:cs="Times New Roman"/>
          <w:sz w:val="24"/>
          <w:szCs w:val="24"/>
        </w:rPr>
      </w:pPr>
      <w:r>
        <w:rPr>
          <w:rFonts w:ascii="Times New Roman" w:eastAsia="Times New Roman" w:hAnsi="Times New Roman" w:cs="Times New Roman"/>
          <w:sz w:val="24"/>
          <w:szCs w:val="24"/>
        </w:rPr>
        <w:t>Fon’un kurucusu ve yöneticisi Hedef Portföy Yönetimi A.Ş.(“Şirket”)’dir. Şirket 2012 yılında kurulmuş olup, yatırım fonları, yatırım ortaklıkları, özel ve tüzel kişilere mevzuat hükümleri çerçevesinde portföy yönetim hizmeti vermektedir. Halka arz olmuş ve toplam fon değeri 31,275,521,186.49 Türk Lirası olan otuz üç adet Serbest Fon, üç adet Hisse Senedi Fonu, bir adet Para Piyasası Fonu, bir adet Borçlanma Araçları Fonu, bir adet Değişken Fon, bir adet Altın Katılım Fonu ve on beş adet Girişim Sermayesi Yatırım Fonu, dört adet Gayrimenkul Yatırım Fonu bulunmaktadır.</w:t>
      </w:r>
    </w:p>
    <w:p w14:paraId="746434E7" w14:textId="40FEDD44" w:rsidR="00912C45" w:rsidRPr="00C6319A" w:rsidRDefault="00912C45" w:rsidP="00247232">
      <w:pPr>
        <w:pStyle w:val="ListeParagraf"/>
        <w:spacing w:after="0"/>
        <w:jc w:val="both"/>
        <w:rPr>
          <w:rFonts w:ascii="Times New Roman" w:hAnsi="Times New Roman" w:cs="Times New Roman"/>
          <w:sz w:val="24"/>
          <w:szCs w:val="24"/>
        </w:rPr>
      </w:pPr>
    </w:p>
    <w:p w14:paraId="3158A6A1" w14:textId="174F3CE7" w:rsidR="00596C79" w:rsidRPr="00C6319A" w:rsidRDefault="00596C79" w:rsidP="003E3013">
      <w:pPr>
        <w:pStyle w:val="ListeParagraf"/>
        <w:spacing w:after="0"/>
        <w:jc w:val="both"/>
        <w:rPr>
          <w:rFonts w:ascii="Times New Roman" w:hAnsi="Times New Roman" w:cs="Times New Roman"/>
          <w:sz w:val="24"/>
          <w:szCs w:val="24"/>
        </w:rPr>
      </w:pPr>
    </w:p>
    <w:p w14:paraId="30FD4DB9" w14:textId="77777777" w:rsidR="00596C79" w:rsidRPr="00C6319A" w:rsidRDefault="00FF1215" w:rsidP="00596C79">
      <w:pPr>
        <w:pStyle w:val="ListeParagraf"/>
        <w:numPr>
          <w:ilvl w:val="0"/>
          <w:numId w:val="3"/>
        </w:numPr>
        <w:spacing w:after="0"/>
        <w:jc w:val="both"/>
        <w:rPr>
          <w:rFonts w:ascii="Times New Roman" w:hAnsi="Times New Roman" w:cs="Times New Roman"/>
          <w:sz w:val="24"/>
          <w:szCs w:val="24"/>
        </w:rPr>
      </w:pPr>
      <w:r w:rsidRPr="00C6319A">
        <w:rPr>
          <w:rFonts w:ascii="Times New Roman" w:hAnsi="Times New Roman" w:cs="Times New Roman"/>
          <w:sz w:val="24"/>
          <w:szCs w:val="24"/>
        </w:rPr>
        <w:t>Fon portföyünün yatırım stratejisi ve yatırım amacına “A. Tanıtıcı Bilgiler” başlığında yer verilmiştir.</w:t>
      </w:r>
    </w:p>
    <w:p w14:paraId="009B86E1" w14:textId="77777777" w:rsidR="00596C79" w:rsidRPr="00C6319A" w:rsidRDefault="00596C79" w:rsidP="0046476F">
      <w:pPr>
        <w:spacing w:after="0"/>
        <w:ind w:left="360"/>
        <w:jc w:val="both"/>
        <w:rPr>
          <w:rFonts w:ascii="Times New Roman" w:hAnsi="Times New Roman" w:cs="Times New Roman"/>
          <w:sz w:val="24"/>
          <w:szCs w:val="24"/>
        </w:rPr>
      </w:pPr>
    </w:p>
    <w:p w14:paraId="699222F4" w14:textId="179623CC" w:rsidR="00FF1215" w:rsidRPr="00C6319A" w:rsidRDefault="00FF1215" w:rsidP="00032E31">
      <w:pPr>
        <w:pStyle w:val="ListeParagraf"/>
        <w:numPr>
          <w:ilvl w:val="0"/>
          <w:numId w:val="3"/>
        </w:numPr>
        <w:spacing w:after="0"/>
        <w:jc w:val="both"/>
        <w:rPr>
          <w:rFonts w:ascii="Times New Roman" w:hAnsi="Times New Roman" w:cs="Times New Roman"/>
          <w:sz w:val="24"/>
          <w:szCs w:val="24"/>
        </w:rPr>
      </w:pPr>
      <w:r w:rsidRPr="00C6319A">
        <w:rPr>
          <w:rFonts w:ascii="Times New Roman" w:hAnsi="Times New Roman" w:cs="Times New Roman"/>
          <w:sz w:val="24"/>
          <w:szCs w:val="24"/>
        </w:rPr>
        <w:t>Fon</w:t>
      </w:r>
      <w:r w:rsidR="00ED76F3" w:rsidRPr="00C6319A">
        <w:rPr>
          <w:rFonts w:ascii="Times New Roman" w:hAnsi="Times New Roman" w:cs="Times New Roman"/>
          <w:sz w:val="24"/>
          <w:szCs w:val="24"/>
        </w:rPr>
        <w:t>,</w:t>
      </w:r>
      <w:r w:rsidRPr="00C6319A">
        <w:rPr>
          <w:rFonts w:ascii="Times New Roman" w:hAnsi="Times New Roman" w:cs="Times New Roman"/>
          <w:sz w:val="24"/>
          <w:szCs w:val="24"/>
        </w:rPr>
        <w:t xml:space="preserve"> </w:t>
      </w:r>
      <w:r w:rsidR="00EE1C8B" w:rsidRPr="00C6319A">
        <w:rPr>
          <w:rFonts w:ascii="Times New Roman" w:hAnsi="Times New Roman" w:cs="Times New Roman"/>
          <w:sz w:val="24"/>
          <w:szCs w:val="24"/>
        </w:rPr>
        <w:t>performans sunum</w:t>
      </w:r>
      <w:r w:rsidRPr="00C6319A">
        <w:rPr>
          <w:rFonts w:ascii="Times New Roman" w:hAnsi="Times New Roman" w:cs="Times New Roman"/>
          <w:sz w:val="24"/>
          <w:szCs w:val="24"/>
        </w:rPr>
        <w:t xml:space="preserve"> döneminde net </w:t>
      </w:r>
      <w:r w:rsidR="00995889" w:rsidRPr="00C6319A">
        <w:rPr>
          <w:rFonts w:ascii="Times New Roman" w:hAnsi="Times New Roman" w:cs="Times New Roman"/>
          <w:sz w:val="24"/>
          <w:szCs w:val="24"/>
        </w:rPr>
        <w:t>%</w:t>
      </w:r>
      <w:r w:rsidR="0010324E">
        <w:rPr>
          <w:rFonts w:ascii="Times New Roman" w:hAnsi="Times New Roman" w:cs="Times New Roman"/>
          <w:sz w:val="24"/>
          <w:szCs w:val="24"/>
        </w:rPr>
        <w:t xml:space="preserve"> 54,24</w:t>
      </w:r>
      <w:r w:rsidR="00DF5CC8">
        <w:rPr>
          <w:rFonts w:ascii="Times New Roman" w:hAnsi="Times New Roman" w:cs="Times New Roman"/>
          <w:sz w:val="24"/>
          <w:szCs w:val="24"/>
        </w:rPr>
        <w:t xml:space="preserve"> </w:t>
      </w:r>
      <w:r w:rsidR="0010324E">
        <w:rPr>
          <w:rFonts w:ascii="Times New Roman" w:hAnsi="Times New Roman" w:cs="Times New Roman"/>
          <w:sz w:val="24"/>
          <w:szCs w:val="24"/>
        </w:rPr>
        <w:t>kar</w:t>
      </w:r>
      <w:r w:rsidR="00ED76F3" w:rsidRPr="00C6319A">
        <w:rPr>
          <w:rFonts w:ascii="Times New Roman" w:hAnsi="Times New Roman" w:cs="Times New Roman"/>
          <w:sz w:val="24"/>
          <w:szCs w:val="24"/>
        </w:rPr>
        <w:t xml:space="preserve"> et</w:t>
      </w:r>
      <w:r w:rsidRPr="00C6319A">
        <w:rPr>
          <w:rFonts w:ascii="Times New Roman" w:hAnsi="Times New Roman" w:cs="Times New Roman"/>
          <w:sz w:val="24"/>
          <w:szCs w:val="24"/>
        </w:rPr>
        <w:t>miştir.</w:t>
      </w:r>
    </w:p>
    <w:p w14:paraId="2653D3D8" w14:textId="77777777" w:rsidR="00596C79" w:rsidRPr="00C6319A" w:rsidRDefault="00596C79" w:rsidP="0046476F">
      <w:pPr>
        <w:spacing w:after="0"/>
        <w:ind w:left="360"/>
        <w:jc w:val="both"/>
        <w:rPr>
          <w:rFonts w:ascii="Times New Roman" w:hAnsi="Times New Roman" w:cs="Times New Roman"/>
          <w:sz w:val="24"/>
          <w:szCs w:val="24"/>
        </w:rPr>
      </w:pPr>
    </w:p>
    <w:p w14:paraId="78F2C54E" w14:textId="77777777" w:rsidR="00ED76F3" w:rsidRPr="00C6319A" w:rsidRDefault="00EE1C8B" w:rsidP="00032E31">
      <w:pPr>
        <w:pStyle w:val="ListeParagraf"/>
        <w:numPr>
          <w:ilvl w:val="0"/>
          <w:numId w:val="3"/>
        </w:numPr>
        <w:spacing w:after="0"/>
        <w:jc w:val="both"/>
        <w:rPr>
          <w:rFonts w:ascii="Times New Roman" w:hAnsi="Times New Roman" w:cs="Times New Roman"/>
          <w:sz w:val="24"/>
          <w:szCs w:val="24"/>
        </w:rPr>
      </w:pPr>
      <w:r w:rsidRPr="00C6319A">
        <w:rPr>
          <w:rFonts w:ascii="Times New Roman" w:hAnsi="Times New Roman" w:cs="Times New Roman"/>
          <w:sz w:val="24"/>
          <w:szCs w:val="24"/>
        </w:rPr>
        <w:t>Performans sunum</w:t>
      </w:r>
      <w:r w:rsidR="00ED76F3" w:rsidRPr="00C6319A">
        <w:rPr>
          <w:rFonts w:ascii="Times New Roman" w:hAnsi="Times New Roman" w:cs="Times New Roman"/>
          <w:sz w:val="24"/>
          <w:szCs w:val="24"/>
        </w:rPr>
        <w:t xml:space="preserve"> döneminde yönetim ücretleri, vergi, saklama ücretleri ve diğer faaliyet giderlerinin ortalama fon portföy değerine oranının ağırlıklı ortalaması aşağıdaki gibidir.</w:t>
      </w:r>
    </w:p>
    <w:tbl>
      <w:tblPr>
        <w:tblW w:w="9120" w:type="dxa"/>
        <w:tblInd w:w="80" w:type="dxa"/>
        <w:tblCellMar>
          <w:left w:w="70" w:type="dxa"/>
          <w:right w:w="70" w:type="dxa"/>
        </w:tblCellMar>
        <w:tblLook w:val="04A0" w:firstRow="1" w:lastRow="0" w:firstColumn="1" w:lastColumn="0" w:noHBand="0" w:noVBand="1"/>
      </w:tblPr>
      <w:tblGrid>
        <w:gridCol w:w="3540"/>
        <w:gridCol w:w="3280"/>
        <w:gridCol w:w="2300"/>
      </w:tblGrid>
      <w:tr w:rsidR="00CE7939" w:rsidRPr="00CE7939" w14:paraId="677225F5" w14:textId="77777777" w:rsidTr="00CE7939">
        <w:trPr>
          <w:trHeight w:val="630"/>
        </w:trPr>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D3FB03F" w14:textId="77777777" w:rsidR="00CE7939" w:rsidRPr="00CE7939" w:rsidRDefault="00CE7939" w:rsidP="00CE7939">
            <w:pPr>
              <w:spacing w:after="0" w:line="240" w:lineRule="auto"/>
              <w:jc w:val="center"/>
              <w:rPr>
                <w:rFonts w:ascii="Times New Roman" w:eastAsia="Times New Roman" w:hAnsi="Times New Roman" w:cs="Times New Roman"/>
                <w:b/>
                <w:bCs/>
                <w:color w:val="000000"/>
                <w:sz w:val="24"/>
                <w:szCs w:val="24"/>
                <w:lang w:eastAsia="tr-TR"/>
              </w:rPr>
            </w:pPr>
            <w:r w:rsidRPr="00CE7939">
              <w:rPr>
                <w:rFonts w:ascii="Times New Roman" w:eastAsia="Times New Roman" w:hAnsi="Times New Roman" w:cs="Times New Roman"/>
                <w:b/>
                <w:bCs/>
                <w:color w:val="000000"/>
                <w:sz w:val="24"/>
                <w:szCs w:val="24"/>
                <w:lang w:eastAsia="tr-TR"/>
              </w:rPr>
              <w:t>Dönem Faaliyet Giderleri Dağılımı</w:t>
            </w:r>
          </w:p>
        </w:tc>
        <w:tc>
          <w:tcPr>
            <w:tcW w:w="3280" w:type="dxa"/>
            <w:tcBorders>
              <w:top w:val="single" w:sz="8" w:space="0" w:color="auto"/>
              <w:left w:val="nil"/>
              <w:bottom w:val="single" w:sz="4" w:space="0" w:color="auto"/>
              <w:right w:val="single" w:sz="4" w:space="0" w:color="auto"/>
            </w:tcBorders>
            <w:shd w:val="clear" w:color="auto" w:fill="auto"/>
            <w:vAlign w:val="center"/>
            <w:hideMark/>
          </w:tcPr>
          <w:p w14:paraId="1F593CC0" w14:textId="77777777" w:rsidR="00CE7939" w:rsidRPr="00CE7939" w:rsidRDefault="00CE7939" w:rsidP="00CE7939">
            <w:pPr>
              <w:spacing w:after="0" w:line="240" w:lineRule="auto"/>
              <w:jc w:val="center"/>
              <w:rPr>
                <w:rFonts w:ascii="Times New Roman" w:eastAsia="Times New Roman" w:hAnsi="Times New Roman" w:cs="Times New Roman"/>
                <w:b/>
                <w:bCs/>
                <w:color w:val="000000"/>
                <w:sz w:val="24"/>
                <w:szCs w:val="24"/>
                <w:lang w:eastAsia="tr-TR"/>
              </w:rPr>
            </w:pPr>
            <w:r w:rsidRPr="00CE7939">
              <w:rPr>
                <w:rFonts w:ascii="Times New Roman" w:eastAsia="Times New Roman" w:hAnsi="Times New Roman" w:cs="Times New Roman"/>
                <w:b/>
                <w:bCs/>
                <w:color w:val="000000"/>
                <w:sz w:val="24"/>
                <w:szCs w:val="24"/>
                <w:lang w:eastAsia="tr-TR"/>
              </w:rPr>
              <w:t>Portföy Değerine Oranı (%)</w:t>
            </w:r>
          </w:p>
        </w:tc>
        <w:tc>
          <w:tcPr>
            <w:tcW w:w="2300" w:type="dxa"/>
            <w:tcBorders>
              <w:top w:val="single" w:sz="8" w:space="0" w:color="auto"/>
              <w:left w:val="nil"/>
              <w:bottom w:val="single" w:sz="4" w:space="0" w:color="auto"/>
              <w:right w:val="single" w:sz="8" w:space="0" w:color="auto"/>
            </w:tcBorders>
            <w:shd w:val="clear" w:color="auto" w:fill="auto"/>
            <w:vAlign w:val="center"/>
            <w:hideMark/>
          </w:tcPr>
          <w:p w14:paraId="3D7C5FC0" w14:textId="77777777" w:rsidR="00CE7939" w:rsidRPr="00CE7939" w:rsidRDefault="00CE7939" w:rsidP="00CE7939">
            <w:pPr>
              <w:spacing w:after="0" w:line="240" w:lineRule="auto"/>
              <w:jc w:val="center"/>
              <w:rPr>
                <w:rFonts w:ascii="Times New Roman" w:eastAsia="Times New Roman" w:hAnsi="Times New Roman" w:cs="Times New Roman"/>
                <w:b/>
                <w:bCs/>
                <w:color w:val="000000"/>
                <w:sz w:val="24"/>
                <w:szCs w:val="24"/>
                <w:lang w:eastAsia="tr-TR"/>
              </w:rPr>
            </w:pPr>
            <w:r w:rsidRPr="00CE7939">
              <w:rPr>
                <w:rFonts w:ascii="Times New Roman" w:eastAsia="Times New Roman" w:hAnsi="Times New Roman" w:cs="Times New Roman"/>
                <w:b/>
                <w:bCs/>
                <w:color w:val="000000"/>
                <w:sz w:val="24"/>
                <w:szCs w:val="24"/>
                <w:lang w:eastAsia="tr-TR"/>
              </w:rPr>
              <w:t>Tutar (TL)</w:t>
            </w:r>
          </w:p>
        </w:tc>
      </w:tr>
      <w:tr w:rsidR="00CE7939" w:rsidRPr="00CE7939" w14:paraId="711328A7" w14:textId="77777777" w:rsidTr="00CE7939">
        <w:trPr>
          <w:trHeight w:val="315"/>
        </w:trPr>
        <w:tc>
          <w:tcPr>
            <w:tcW w:w="3540" w:type="dxa"/>
            <w:tcBorders>
              <w:top w:val="nil"/>
              <w:left w:val="single" w:sz="8" w:space="0" w:color="auto"/>
              <w:bottom w:val="single" w:sz="4" w:space="0" w:color="auto"/>
              <w:right w:val="single" w:sz="4" w:space="0" w:color="auto"/>
            </w:tcBorders>
            <w:shd w:val="clear" w:color="auto" w:fill="auto"/>
            <w:noWrap/>
            <w:vAlign w:val="bottom"/>
            <w:hideMark/>
          </w:tcPr>
          <w:p w14:paraId="212726B6" w14:textId="77777777" w:rsidR="00CE7939" w:rsidRPr="00CE7939" w:rsidRDefault="00CE7939" w:rsidP="00CE7939">
            <w:pPr>
              <w:spacing w:after="0" w:line="240" w:lineRule="auto"/>
              <w:rPr>
                <w:rFonts w:ascii="Times New Roman" w:eastAsia="Times New Roman" w:hAnsi="Times New Roman" w:cs="Times New Roman"/>
                <w:color w:val="000000"/>
                <w:sz w:val="24"/>
                <w:szCs w:val="24"/>
                <w:lang w:eastAsia="tr-TR"/>
              </w:rPr>
            </w:pPr>
            <w:r w:rsidRPr="00CE7939">
              <w:rPr>
                <w:rFonts w:ascii="Times New Roman" w:eastAsia="Times New Roman" w:hAnsi="Times New Roman" w:cs="Times New Roman"/>
                <w:color w:val="000000"/>
                <w:sz w:val="24"/>
                <w:szCs w:val="24"/>
                <w:lang w:eastAsia="tr-TR"/>
              </w:rPr>
              <w:t>Yönetim Ücreti</w:t>
            </w:r>
          </w:p>
        </w:tc>
        <w:tc>
          <w:tcPr>
            <w:tcW w:w="3280" w:type="dxa"/>
            <w:tcBorders>
              <w:top w:val="nil"/>
              <w:left w:val="nil"/>
              <w:bottom w:val="single" w:sz="4" w:space="0" w:color="auto"/>
              <w:right w:val="single" w:sz="8" w:space="0" w:color="auto"/>
            </w:tcBorders>
            <w:shd w:val="clear" w:color="auto" w:fill="auto"/>
            <w:noWrap/>
            <w:vAlign w:val="bottom"/>
            <w:hideMark/>
          </w:tcPr>
          <w:p w14:paraId="7604CD82" w14:textId="77777777" w:rsidR="00CE7939" w:rsidRPr="00CE7939" w:rsidRDefault="00CE7939" w:rsidP="00CE7939">
            <w:pPr>
              <w:spacing w:after="0" w:line="240" w:lineRule="auto"/>
              <w:jc w:val="center"/>
              <w:rPr>
                <w:rFonts w:ascii="Times New Roman" w:eastAsia="Times New Roman" w:hAnsi="Times New Roman" w:cs="Times New Roman"/>
                <w:color w:val="000000"/>
                <w:sz w:val="24"/>
                <w:szCs w:val="24"/>
                <w:lang w:eastAsia="tr-TR"/>
              </w:rPr>
            </w:pPr>
            <w:r w:rsidRPr="00CE7939">
              <w:rPr>
                <w:rFonts w:ascii="Times New Roman" w:eastAsia="Times New Roman" w:hAnsi="Times New Roman" w:cs="Times New Roman"/>
                <w:color w:val="000000"/>
                <w:sz w:val="24"/>
                <w:szCs w:val="24"/>
                <w:lang w:eastAsia="tr-TR"/>
              </w:rPr>
              <w:t>1,49</w:t>
            </w:r>
          </w:p>
        </w:tc>
        <w:tc>
          <w:tcPr>
            <w:tcW w:w="2300" w:type="dxa"/>
            <w:tcBorders>
              <w:top w:val="nil"/>
              <w:left w:val="single" w:sz="4" w:space="0" w:color="auto"/>
              <w:bottom w:val="single" w:sz="4" w:space="0" w:color="auto"/>
              <w:right w:val="single" w:sz="8" w:space="0" w:color="auto"/>
            </w:tcBorders>
            <w:shd w:val="clear" w:color="auto" w:fill="auto"/>
            <w:noWrap/>
            <w:vAlign w:val="bottom"/>
            <w:hideMark/>
          </w:tcPr>
          <w:p w14:paraId="314CF9AD" w14:textId="77777777" w:rsidR="00CE7939" w:rsidRPr="00CE7939" w:rsidRDefault="00CE7939" w:rsidP="00CE7939">
            <w:pPr>
              <w:spacing w:after="0" w:line="240" w:lineRule="auto"/>
              <w:jc w:val="center"/>
              <w:rPr>
                <w:rFonts w:ascii="Times New Roman" w:eastAsia="Times New Roman" w:hAnsi="Times New Roman" w:cs="Times New Roman"/>
                <w:color w:val="000000"/>
                <w:sz w:val="24"/>
                <w:szCs w:val="24"/>
                <w:lang w:eastAsia="tr-TR"/>
              </w:rPr>
            </w:pPr>
            <w:r w:rsidRPr="00CE7939">
              <w:rPr>
                <w:rFonts w:ascii="Times New Roman" w:eastAsia="Times New Roman" w:hAnsi="Times New Roman" w:cs="Times New Roman"/>
                <w:color w:val="000000"/>
                <w:sz w:val="24"/>
                <w:szCs w:val="24"/>
                <w:lang w:eastAsia="tr-TR"/>
              </w:rPr>
              <w:t>9.945.305,37</w:t>
            </w:r>
          </w:p>
        </w:tc>
      </w:tr>
      <w:tr w:rsidR="00CE7939" w:rsidRPr="00CE7939" w14:paraId="687629A9" w14:textId="77777777" w:rsidTr="00CE7939">
        <w:trPr>
          <w:trHeight w:val="315"/>
        </w:trPr>
        <w:tc>
          <w:tcPr>
            <w:tcW w:w="3540" w:type="dxa"/>
            <w:tcBorders>
              <w:top w:val="nil"/>
              <w:left w:val="single" w:sz="8" w:space="0" w:color="auto"/>
              <w:bottom w:val="single" w:sz="4" w:space="0" w:color="auto"/>
              <w:right w:val="single" w:sz="4" w:space="0" w:color="auto"/>
            </w:tcBorders>
            <w:shd w:val="clear" w:color="auto" w:fill="auto"/>
            <w:noWrap/>
            <w:vAlign w:val="bottom"/>
            <w:hideMark/>
          </w:tcPr>
          <w:p w14:paraId="070B8176" w14:textId="77777777" w:rsidR="00CE7939" w:rsidRPr="00CE7939" w:rsidRDefault="00CE7939" w:rsidP="00CE7939">
            <w:pPr>
              <w:spacing w:after="0" w:line="240" w:lineRule="auto"/>
              <w:rPr>
                <w:rFonts w:ascii="Times New Roman" w:eastAsia="Times New Roman" w:hAnsi="Times New Roman" w:cs="Times New Roman"/>
                <w:color w:val="000000"/>
                <w:sz w:val="24"/>
                <w:szCs w:val="24"/>
                <w:lang w:eastAsia="tr-TR"/>
              </w:rPr>
            </w:pPr>
            <w:r w:rsidRPr="00CE7939">
              <w:rPr>
                <w:rFonts w:ascii="Times New Roman" w:eastAsia="Times New Roman" w:hAnsi="Times New Roman" w:cs="Times New Roman"/>
                <w:color w:val="000000"/>
                <w:sz w:val="24"/>
                <w:szCs w:val="24"/>
                <w:lang w:eastAsia="tr-TR"/>
              </w:rPr>
              <w:t>Komisyon ve Diğer İşlem Ücretleri</w:t>
            </w:r>
          </w:p>
        </w:tc>
        <w:tc>
          <w:tcPr>
            <w:tcW w:w="3280" w:type="dxa"/>
            <w:tcBorders>
              <w:top w:val="nil"/>
              <w:left w:val="nil"/>
              <w:bottom w:val="single" w:sz="4" w:space="0" w:color="auto"/>
              <w:right w:val="single" w:sz="8" w:space="0" w:color="auto"/>
            </w:tcBorders>
            <w:shd w:val="clear" w:color="auto" w:fill="auto"/>
            <w:noWrap/>
            <w:vAlign w:val="bottom"/>
            <w:hideMark/>
          </w:tcPr>
          <w:p w14:paraId="5F7249D5" w14:textId="77777777" w:rsidR="00CE7939" w:rsidRPr="00CE7939" w:rsidRDefault="00CE7939" w:rsidP="00CE7939">
            <w:pPr>
              <w:spacing w:after="0" w:line="240" w:lineRule="auto"/>
              <w:jc w:val="center"/>
              <w:rPr>
                <w:rFonts w:ascii="Times New Roman" w:eastAsia="Times New Roman" w:hAnsi="Times New Roman" w:cs="Times New Roman"/>
                <w:color w:val="000000"/>
                <w:sz w:val="24"/>
                <w:szCs w:val="24"/>
                <w:lang w:eastAsia="tr-TR"/>
              </w:rPr>
            </w:pPr>
            <w:r w:rsidRPr="00CE7939">
              <w:rPr>
                <w:rFonts w:ascii="Times New Roman" w:eastAsia="Times New Roman" w:hAnsi="Times New Roman" w:cs="Times New Roman"/>
                <w:color w:val="000000"/>
                <w:sz w:val="24"/>
                <w:szCs w:val="24"/>
                <w:lang w:eastAsia="tr-TR"/>
              </w:rPr>
              <w:t>0,06</w:t>
            </w:r>
          </w:p>
        </w:tc>
        <w:tc>
          <w:tcPr>
            <w:tcW w:w="2300" w:type="dxa"/>
            <w:tcBorders>
              <w:top w:val="nil"/>
              <w:left w:val="single" w:sz="4" w:space="0" w:color="auto"/>
              <w:bottom w:val="single" w:sz="4" w:space="0" w:color="auto"/>
              <w:right w:val="single" w:sz="8" w:space="0" w:color="auto"/>
            </w:tcBorders>
            <w:shd w:val="clear" w:color="auto" w:fill="auto"/>
            <w:noWrap/>
            <w:vAlign w:val="bottom"/>
            <w:hideMark/>
          </w:tcPr>
          <w:p w14:paraId="3E875289" w14:textId="77777777" w:rsidR="00CE7939" w:rsidRPr="00CE7939" w:rsidRDefault="00CE7939" w:rsidP="00CE7939">
            <w:pPr>
              <w:spacing w:after="0" w:line="240" w:lineRule="auto"/>
              <w:jc w:val="center"/>
              <w:rPr>
                <w:rFonts w:ascii="Times New Roman" w:eastAsia="Times New Roman" w:hAnsi="Times New Roman" w:cs="Times New Roman"/>
                <w:color w:val="000000"/>
                <w:sz w:val="24"/>
                <w:szCs w:val="24"/>
                <w:lang w:eastAsia="tr-TR"/>
              </w:rPr>
            </w:pPr>
            <w:r w:rsidRPr="00CE7939">
              <w:rPr>
                <w:rFonts w:ascii="Times New Roman" w:eastAsia="Times New Roman" w:hAnsi="Times New Roman" w:cs="Times New Roman"/>
                <w:color w:val="000000"/>
                <w:sz w:val="24"/>
                <w:szCs w:val="24"/>
                <w:lang w:eastAsia="tr-TR"/>
              </w:rPr>
              <w:t>411.111,62</w:t>
            </w:r>
          </w:p>
        </w:tc>
      </w:tr>
      <w:tr w:rsidR="00CE7939" w:rsidRPr="00CE7939" w14:paraId="2983CD9D" w14:textId="77777777" w:rsidTr="00CE7939">
        <w:trPr>
          <w:trHeight w:val="315"/>
        </w:trPr>
        <w:tc>
          <w:tcPr>
            <w:tcW w:w="3540" w:type="dxa"/>
            <w:tcBorders>
              <w:top w:val="nil"/>
              <w:left w:val="single" w:sz="8" w:space="0" w:color="auto"/>
              <w:bottom w:val="single" w:sz="4" w:space="0" w:color="auto"/>
              <w:right w:val="single" w:sz="4" w:space="0" w:color="auto"/>
            </w:tcBorders>
            <w:shd w:val="clear" w:color="auto" w:fill="auto"/>
            <w:noWrap/>
            <w:vAlign w:val="bottom"/>
            <w:hideMark/>
          </w:tcPr>
          <w:p w14:paraId="182914B5" w14:textId="77777777" w:rsidR="00CE7939" w:rsidRPr="00CE7939" w:rsidRDefault="00CE7939" w:rsidP="00CE7939">
            <w:pPr>
              <w:spacing w:after="0" w:line="240" w:lineRule="auto"/>
              <w:rPr>
                <w:rFonts w:ascii="Times New Roman" w:eastAsia="Times New Roman" w:hAnsi="Times New Roman" w:cs="Times New Roman"/>
                <w:color w:val="000000"/>
                <w:sz w:val="24"/>
                <w:szCs w:val="24"/>
                <w:lang w:eastAsia="tr-TR"/>
              </w:rPr>
            </w:pPr>
            <w:r w:rsidRPr="00CE7939">
              <w:rPr>
                <w:rFonts w:ascii="Times New Roman" w:eastAsia="Times New Roman" w:hAnsi="Times New Roman" w:cs="Times New Roman"/>
                <w:color w:val="000000"/>
                <w:sz w:val="24"/>
                <w:szCs w:val="24"/>
                <w:lang w:eastAsia="tr-TR"/>
              </w:rPr>
              <w:t>Saklama Ücreti</w:t>
            </w:r>
          </w:p>
        </w:tc>
        <w:tc>
          <w:tcPr>
            <w:tcW w:w="3280" w:type="dxa"/>
            <w:tcBorders>
              <w:top w:val="nil"/>
              <w:left w:val="nil"/>
              <w:bottom w:val="single" w:sz="4" w:space="0" w:color="auto"/>
              <w:right w:val="single" w:sz="8" w:space="0" w:color="auto"/>
            </w:tcBorders>
            <w:shd w:val="clear" w:color="auto" w:fill="auto"/>
            <w:noWrap/>
            <w:vAlign w:val="bottom"/>
            <w:hideMark/>
          </w:tcPr>
          <w:p w14:paraId="7B0C3533" w14:textId="77777777" w:rsidR="00CE7939" w:rsidRPr="00CE7939" w:rsidRDefault="00CE7939" w:rsidP="00CE7939">
            <w:pPr>
              <w:spacing w:after="0" w:line="240" w:lineRule="auto"/>
              <w:jc w:val="center"/>
              <w:rPr>
                <w:rFonts w:ascii="Times New Roman" w:eastAsia="Times New Roman" w:hAnsi="Times New Roman" w:cs="Times New Roman"/>
                <w:color w:val="000000"/>
                <w:sz w:val="24"/>
                <w:szCs w:val="24"/>
                <w:lang w:eastAsia="tr-TR"/>
              </w:rPr>
            </w:pPr>
            <w:r w:rsidRPr="00CE7939">
              <w:rPr>
                <w:rFonts w:ascii="Times New Roman" w:eastAsia="Times New Roman" w:hAnsi="Times New Roman" w:cs="Times New Roman"/>
                <w:color w:val="000000"/>
                <w:sz w:val="24"/>
                <w:szCs w:val="24"/>
                <w:lang w:eastAsia="tr-TR"/>
              </w:rPr>
              <w:t>0,05</w:t>
            </w:r>
          </w:p>
        </w:tc>
        <w:tc>
          <w:tcPr>
            <w:tcW w:w="2300" w:type="dxa"/>
            <w:tcBorders>
              <w:top w:val="nil"/>
              <w:left w:val="single" w:sz="4" w:space="0" w:color="auto"/>
              <w:bottom w:val="single" w:sz="4" w:space="0" w:color="auto"/>
              <w:right w:val="single" w:sz="8" w:space="0" w:color="auto"/>
            </w:tcBorders>
            <w:shd w:val="clear" w:color="auto" w:fill="auto"/>
            <w:noWrap/>
            <w:vAlign w:val="bottom"/>
            <w:hideMark/>
          </w:tcPr>
          <w:p w14:paraId="1E61D061" w14:textId="77777777" w:rsidR="00CE7939" w:rsidRPr="00CE7939" w:rsidRDefault="00CE7939" w:rsidP="00CE7939">
            <w:pPr>
              <w:spacing w:after="0" w:line="240" w:lineRule="auto"/>
              <w:jc w:val="center"/>
              <w:rPr>
                <w:rFonts w:ascii="Times New Roman" w:eastAsia="Times New Roman" w:hAnsi="Times New Roman" w:cs="Times New Roman"/>
                <w:color w:val="000000"/>
                <w:sz w:val="24"/>
                <w:szCs w:val="24"/>
                <w:lang w:eastAsia="tr-TR"/>
              </w:rPr>
            </w:pPr>
            <w:r w:rsidRPr="00CE7939">
              <w:rPr>
                <w:rFonts w:ascii="Times New Roman" w:eastAsia="Times New Roman" w:hAnsi="Times New Roman" w:cs="Times New Roman"/>
                <w:color w:val="000000"/>
                <w:sz w:val="24"/>
                <w:szCs w:val="24"/>
                <w:lang w:eastAsia="tr-TR"/>
              </w:rPr>
              <w:t>308.718,51</w:t>
            </w:r>
          </w:p>
        </w:tc>
      </w:tr>
      <w:tr w:rsidR="00CE7939" w:rsidRPr="00CE7939" w14:paraId="76362986" w14:textId="77777777" w:rsidTr="00CE7939">
        <w:trPr>
          <w:trHeight w:val="315"/>
        </w:trPr>
        <w:tc>
          <w:tcPr>
            <w:tcW w:w="3540" w:type="dxa"/>
            <w:tcBorders>
              <w:top w:val="nil"/>
              <w:left w:val="single" w:sz="8" w:space="0" w:color="auto"/>
              <w:bottom w:val="single" w:sz="4" w:space="0" w:color="auto"/>
              <w:right w:val="single" w:sz="4" w:space="0" w:color="auto"/>
            </w:tcBorders>
            <w:shd w:val="clear" w:color="auto" w:fill="auto"/>
            <w:noWrap/>
            <w:vAlign w:val="bottom"/>
            <w:hideMark/>
          </w:tcPr>
          <w:p w14:paraId="4073D89A" w14:textId="77777777" w:rsidR="00CE7939" w:rsidRPr="00CE7939" w:rsidRDefault="00CE7939" w:rsidP="00CE7939">
            <w:pPr>
              <w:spacing w:after="0" w:line="240" w:lineRule="auto"/>
              <w:rPr>
                <w:rFonts w:ascii="Times New Roman" w:eastAsia="Times New Roman" w:hAnsi="Times New Roman" w:cs="Times New Roman"/>
                <w:color w:val="000000"/>
                <w:sz w:val="24"/>
                <w:szCs w:val="24"/>
                <w:lang w:eastAsia="tr-TR"/>
              </w:rPr>
            </w:pPr>
            <w:r w:rsidRPr="00CE7939">
              <w:rPr>
                <w:rFonts w:ascii="Times New Roman" w:eastAsia="Times New Roman" w:hAnsi="Times New Roman" w:cs="Times New Roman"/>
                <w:color w:val="000000"/>
                <w:sz w:val="24"/>
                <w:szCs w:val="24"/>
                <w:lang w:eastAsia="tr-TR"/>
              </w:rPr>
              <w:t>Kurul Ücretleri</w:t>
            </w:r>
          </w:p>
        </w:tc>
        <w:tc>
          <w:tcPr>
            <w:tcW w:w="3280" w:type="dxa"/>
            <w:tcBorders>
              <w:top w:val="nil"/>
              <w:left w:val="nil"/>
              <w:bottom w:val="single" w:sz="4" w:space="0" w:color="auto"/>
              <w:right w:val="single" w:sz="8" w:space="0" w:color="auto"/>
            </w:tcBorders>
            <w:shd w:val="clear" w:color="auto" w:fill="auto"/>
            <w:noWrap/>
            <w:vAlign w:val="bottom"/>
            <w:hideMark/>
          </w:tcPr>
          <w:p w14:paraId="37495A3F" w14:textId="77777777" w:rsidR="00CE7939" w:rsidRPr="00CE7939" w:rsidRDefault="00CE7939" w:rsidP="00CE7939">
            <w:pPr>
              <w:spacing w:after="0" w:line="240" w:lineRule="auto"/>
              <w:jc w:val="center"/>
              <w:rPr>
                <w:rFonts w:ascii="Times New Roman" w:eastAsia="Times New Roman" w:hAnsi="Times New Roman" w:cs="Times New Roman"/>
                <w:color w:val="000000"/>
                <w:sz w:val="24"/>
                <w:szCs w:val="24"/>
                <w:lang w:eastAsia="tr-TR"/>
              </w:rPr>
            </w:pPr>
            <w:r w:rsidRPr="00CE7939">
              <w:rPr>
                <w:rFonts w:ascii="Times New Roman" w:eastAsia="Times New Roman" w:hAnsi="Times New Roman" w:cs="Times New Roman"/>
                <w:color w:val="000000"/>
                <w:sz w:val="24"/>
                <w:szCs w:val="24"/>
                <w:lang w:eastAsia="tr-TR"/>
              </w:rPr>
              <w:t>0,01</w:t>
            </w:r>
          </w:p>
        </w:tc>
        <w:tc>
          <w:tcPr>
            <w:tcW w:w="2300" w:type="dxa"/>
            <w:tcBorders>
              <w:top w:val="nil"/>
              <w:left w:val="single" w:sz="4" w:space="0" w:color="auto"/>
              <w:bottom w:val="single" w:sz="4" w:space="0" w:color="auto"/>
              <w:right w:val="single" w:sz="8" w:space="0" w:color="auto"/>
            </w:tcBorders>
            <w:shd w:val="clear" w:color="auto" w:fill="auto"/>
            <w:noWrap/>
            <w:vAlign w:val="bottom"/>
            <w:hideMark/>
          </w:tcPr>
          <w:p w14:paraId="1417F59C" w14:textId="77777777" w:rsidR="00CE7939" w:rsidRPr="00CE7939" w:rsidRDefault="00CE7939" w:rsidP="00CE7939">
            <w:pPr>
              <w:spacing w:after="0" w:line="240" w:lineRule="auto"/>
              <w:jc w:val="center"/>
              <w:rPr>
                <w:rFonts w:ascii="Times New Roman" w:eastAsia="Times New Roman" w:hAnsi="Times New Roman" w:cs="Times New Roman"/>
                <w:color w:val="000000"/>
                <w:sz w:val="24"/>
                <w:szCs w:val="24"/>
                <w:lang w:eastAsia="tr-TR"/>
              </w:rPr>
            </w:pPr>
            <w:r w:rsidRPr="00CE7939">
              <w:rPr>
                <w:rFonts w:ascii="Times New Roman" w:eastAsia="Times New Roman" w:hAnsi="Times New Roman" w:cs="Times New Roman"/>
                <w:color w:val="000000"/>
                <w:sz w:val="24"/>
                <w:szCs w:val="24"/>
                <w:lang w:eastAsia="tr-TR"/>
              </w:rPr>
              <w:t>68.403,60</w:t>
            </w:r>
          </w:p>
        </w:tc>
      </w:tr>
      <w:tr w:rsidR="00CE7939" w:rsidRPr="00CE7939" w14:paraId="142F84DF" w14:textId="77777777" w:rsidTr="00CE7939">
        <w:trPr>
          <w:trHeight w:val="315"/>
        </w:trPr>
        <w:tc>
          <w:tcPr>
            <w:tcW w:w="3540" w:type="dxa"/>
            <w:tcBorders>
              <w:top w:val="nil"/>
              <w:left w:val="single" w:sz="8" w:space="0" w:color="auto"/>
              <w:bottom w:val="single" w:sz="4" w:space="0" w:color="auto"/>
              <w:right w:val="single" w:sz="4" w:space="0" w:color="auto"/>
            </w:tcBorders>
            <w:shd w:val="clear" w:color="auto" w:fill="auto"/>
            <w:noWrap/>
            <w:vAlign w:val="bottom"/>
            <w:hideMark/>
          </w:tcPr>
          <w:p w14:paraId="16E4014E" w14:textId="77777777" w:rsidR="00CE7939" w:rsidRPr="00CE7939" w:rsidRDefault="00CE7939" w:rsidP="00CE7939">
            <w:pPr>
              <w:spacing w:after="0" w:line="240" w:lineRule="auto"/>
              <w:rPr>
                <w:rFonts w:ascii="Times New Roman" w:eastAsia="Times New Roman" w:hAnsi="Times New Roman" w:cs="Times New Roman"/>
                <w:color w:val="000000"/>
                <w:sz w:val="24"/>
                <w:szCs w:val="24"/>
                <w:lang w:eastAsia="tr-TR"/>
              </w:rPr>
            </w:pPr>
            <w:r w:rsidRPr="00CE7939">
              <w:rPr>
                <w:rFonts w:ascii="Times New Roman" w:eastAsia="Times New Roman" w:hAnsi="Times New Roman" w:cs="Times New Roman"/>
                <w:color w:val="000000"/>
                <w:sz w:val="24"/>
                <w:szCs w:val="24"/>
                <w:lang w:eastAsia="tr-TR"/>
              </w:rPr>
              <w:t>Bağımsız Denetim Ücreti</w:t>
            </w:r>
          </w:p>
        </w:tc>
        <w:tc>
          <w:tcPr>
            <w:tcW w:w="3280" w:type="dxa"/>
            <w:tcBorders>
              <w:top w:val="nil"/>
              <w:left w:val="nil"/>
              <w:bottom w:val="single" w:sz="4" w:space="0" w:color="auto"/>
              <w:right w:val="single" w:sz="8" w:space="0" w:color="auto"/>
            </w:tcBorders>
            <w:shd w:val="clear" w:color="auto" w:fill="auto"/>
            <w:noWrap/>
            <w:vAlign w:val="bottom"/>
            <w:hideMark/>
          </w:tcPr>
          <w:p w14:paraId="4412B81F" w14:textId="77777777" w:rsidR="00CE7939" w:rsidRPr="00CE7939" w:rsidRDefault="00CE7939" w:rsidP="00CE7939">
            <w:pPr>
              <w:spacing w:after="0" w:line="240" w:lineRule="auto"/>
              <w:jc w:val="center"/>
              <w:rPr>
                <w:rFonts w:ascii="Times New Roman" w:eastAsia="Times New Roman" w:hAnsi="Times New Roman" w:cs="Times New Roman"/>
                <w:color w:val="000000"/>
                <w:sz w:val="24"/>
                <w:szCs w:val="24"/>
                <w:lang w:eastAsia="tr-TR"/>
              </w:rPr>
            </w:pPr>
            <w:r w:rsidRPr="00CE7939">
              <w:rPr>
                <w:rFonts w:ascii="Times New Roman" w:eastAsia="Times New Roman" w:hAnsi="Times New Roman" w:cs="Times New Roman"/>
                <w:color w:val="000000"/>
                <w:sz w:val="24"/>
                <w:szCs w:val="24"/>
                <w:lang w:eastAsia="tr-TR"/>
              </w:rPr>
              <w:t>0,01</w:t>
            </w:r>
          </w:p>
        </w:tc>
        <w:tc>
          <w:tcPr>
            <w:tcW w:w="2300" w:type="dxa"/>
            <w:tcBorders>
              <w:top w:val="nil"/>
              <w:left w:val="single" w:sz="4" w:space="0" w:color="auto"/>
              <w:bottom w:val="single" w:sz="4" w:space="0" w:color="auto"/>
              <w:right w:val="single" w:sz="8" w:space="0" w:color="auto"/>
            </w:tcBorders>
            <w:shd w:val="clear" w:color="auto" w:fill="auto"/>
            <w:noWrap/>
            <w:vAlign w:val="bottom"/>
            <w:hideMark/>
          </w:tcPr>
          <w:p w14:paraId="1D2E4C3D" w14:textId="77777777" w:rsidR="00CE7939" w:rsidRPr="00CE7939" w:rsidRDefault="00CE7939" w:rsidP="00CE7939">
            <w:pPr>
              <w:spacing w:after="0" w:line="240" w:lineRule="auto"/>
              <w:jc w:val="center"/>
              <w:rPr>
                <w:rFonts w:ascii="Times New Roman" w:eastAsia="Times New Roman" w:hAnsi="Times New Roman" w:cs="Times New Roman"/>
                <w:color w:val="000000"/>
                <w:sz w:val="24"/>
                <w:szCs w:val="24"/>
                <w:lang w:eastAsia="tr-TR"/>
              </w:rPr>
            </w:pPr>
            <w:r w:rsidRPr="00CE7939">
              <w:rPr>
                <w:rFonts w:ascii="Times New Roman" w:eastAsia="Times New Roman" w:hAnsi="Times New Roman" w:cs="Times New Roman"/>
                <w:color w:val="000000"/>
                <w:sz w:val="24"/>
                <w:szCs w:val="24"/>
                <w:lang w:eastAsia="tr-TR"/>
              </w:rPr>
              <w:t>48.685,38</w:t>
            </w:r>
          </w:p>
        </w:tc>
      </w:tr>
      <w:tr w:rsidR="00CE7939" w:rsidRPr="00CE7939" w14:paraId="34FCAA83" w14:textId="77777777" w:rsidTr="00CE7939">
        <w:trPr>
          <w:trHeight w:val="315"/>
        </w:trPr>
        <w:tc>
          <w:tcPr>
            <w:tcW w:w="3540" w:type="dxa"/>
            <w:tcBorders>
              <w:top w:val="nil"/>
              <w:left w:val="single" w:sz="8" w:space="0" w:color="auto"/>
              <w:bottom w:val="single" w:sz="4" w:space="0" w:color="auto"/>
              <w:right w:val="single" w:sz="4" w:space="0" w:color="auto"/>
            </w:tcBorders>
            <w:shd w:val="clear" w:color="auto" w:fill="auto"/>
            <w:noWrap/>
            <w:vAlign w:val="bottom"/>
            <w:hideMark/>
          </w:tcPr>
          <w:p w14:paraId="7E092823" w14:textId="77777777" w:rsidR="00CE7939" w:rsidRPr="00CE7939" w:rsidRDefault="00CE7939" w:rsidP="00CE7939">
            <w:pPr>
              <w:spacing w:after="0" w:line="240" w:lineRule="auto"/>
              <w:rPr>
                <w:rFonts w:ascii="Times New Roman" w:eastAsia="Times New Roman" w:hAnsi="Times New Roman" w:cs="Times New Roman"/>
                <w:color w:val="000000"/>
                <w:sz w:val="24"/>
                <w:szCs w:val="24"/>
                <w:lang w:eastAsia="tr-TR"/>
              </w:rPr>
            </w:pPr>
            <w:r w:rsidRPr="00CE7939">
              <w:rPr>
                <w:rFonts w:ascii="Times New Roman" w:eastAsia="Times New Roman" w:hAnsi="Times New Roman" w:cs="Times New Roman"/>
                <w:color w:val="000000"/>
                <w:sz w:val="24"/>
                <w:szCs w:val="24"/>
                <w:lang w:eastAsia="tr-TR"/>
              </w:rPr>
              <w:t>Diğer Giderler</w:t>
            </w:r>
          </w:p>
        </w:tc>
        <w:tc>
          <w:tcPr>
            <w:tcW w:w="3280" w:type="dxa"/>
            <w:tcBorders>
              <w:top w:val="nil"/>
              <w:left w:val="nil"/>
              <w:bottom w:val="single" w:sz="4" w:space="0" w:color="auto"/>
              <w:right w:val="single" w:sz="8" w:space="0" w:color="auto"/>
            </w:tcBorders>
            <w:shd w:val="clear" w:color="auto" w:fill="auto"/>
            <w:noWrap/>
            <w:vAlign w:val="bottom"/>
            <w:hideMark/>
          </w:tcPr>
          <w:p w14:paraId="4055D1B5" w14:textId="77777777" w:rsidR="00CE7939" w:rsidRPr="00CE7939" w:rsidRDefault="00CE7939" w:rsidP="00CE7939">
            <w:pPr>
              <w:spacing w:after="0" w:line="240" w:lineRule="auto"/>
              <w:jc w:val="center"/>
              <w:rPr>
                <w:rFonts w:ascii="Times New Roman" w:eastAsia="Times New Roman" w:hAnsi="Times New Roman" w:cs="Times New Roman"/>
                <w:color w:val="000000"/>
                <w:sz w:val="24"/>
                <w:szCs w:val="24"/>
                <w:lang w:eastAsia="tr-TR"/>
              </w:rPr>
            </w:pPr>
            <w:r w:rsidRPr="00CE7939">
              <w:rPr>
                <w:rFonts w:ascii="Times New Roman" w:eastAsia="Times New Roman" w:hAnsi="Times New Roman" w:cs="Times New Roman"/>
                <w:color w:val="000000"/>
                <w:sz w:val="24"/>
                <w:szCs w:val="24"/>
                <w:lang w:eastAsia="tr-TR"/>
              </w:rPr>
              <w:t>0,01</w:t>
            </w:r>
          </w:p>
        </w:tc>
        <w:tc>
          <w:tcPr>
            <w:tcW w:w="2300" w:type="dxa"/>
            <w:tcBorders>
              <w:top w:val="nil"/>
              <w:left w:val="single" w:sz="4" w:space="0" w:color="auto"/>
              <w:bottom w:val="single" w:sz="4" w:space="0" w:color="auto"/>
              <w:right w:val="single" w:sz="8" w:space="0" w:color="auto"/>
            </w:tcBorders>
            <w:shd w:val="clear" w:color="auto" w:fill="auto"/>
            <w:noWrap/>
            <w:vAlign w:val="bottom"/>
            <w:hideMark/>
          </w:tcPr>
          <w:p w14:paraId="375AE47F" w14:textId="77777777" w:rsidR="00CE7939" w:rsidRPr="00CE7939" w:rsidRDefault="00CE7939" w:rsidP="00CE7939">
            <w:pPr>
              <w:spacing w:after="0" w:line="240" w:lineRule="auto"/>
              <w:jc w:val="center"/>
              <w:rPr>
                <w:rFonts w:ascii="Times New Roman" w:eastAsia="Times New Roman" w:hAnsi="Times New Roman" w:cs="Times New Roman"/>
                <w:color w:val="000000"/>
                <w:sz w:val="24"/>
                <w:szCs w:val="24"/>
                <w:lang w:eastAsia="tr-TR"/>
              </w:rPr>
            </w:pPr>
            <w:r w:rsidRPr="00CE7939">
              <w:rPr>
                <w:rFonts w:ascii="Times New Roman" w:eastAsia="Times New Roman" w:hAnsi="Times New Roman" w:cs="Times New Roman"/>
                <w:color w:val="000000"/>
                <w:sz w:val="24"/>
                <w:szCs w:val="24"/>
                <w:lang w:eastAsia="tr-TR"/>
              </w:rPr>
              <w:t>60.975,70</w:t>
            </w:r>
          </w:p>
        </w:tc>
      </w:tr>
      <w:tr w:rsidR="00CE7939" w:rsidRPr="00CE7939" w14:paraId="45FBBE58" w14:textId="77777777" w:rsidTr="00CE7939">
        <w:trPr>
          <w:trHeight w:val="330"/>
        </w:trPr>
        <w:tc>
          <w:tcPr>
            <w:tcW w:w="3540" w:type="dxa"/>
            <w:tcBorders>
              <w:top w:val="nil"/>
              <w:left w:val="single" w:sz="8" w:space="0" w:color="auto"/>
              <w:bottom w:val="single" w:sz="8" w:space="0" w:color="auto"/>
              <w:right w:val="single" w:sz="4" w:space="0" w:color="auto"/>
            </w:tcBorders>
            <w:shd w:val="clear" w:color="auto" w:fill="auto"/>
            <w:noWrap/>
            <w:vAlign w:val="bottom"/>
            <w:hideMark/>
          </w:tcPr>
          <w:p w14:paraId="5C263D47" w14:textId="77777777" w:rsidR="00CE7939" w:rsidRPr="00CE7939" w:rsidRDefault="00CE7939" w:rsidP="00CE7939">
            <w:pPr>
              <w:spacing w:after="0" w:line="240" w:lineRule="auto"/>
              <w:rPr>
                <w:rFonts w:ascii="Times New Roman" w:eastAsia="Times New Roman" w:hAnsi="Times New Roman" w:cs="Times New Roman"/>
                <w:b/>
                <w:bCs/>
                <w:color w:val="000000"/>
                <w:sz w:val="24"/>
                <w:szCs w:val="24"/>
                <w:lang w:eastAsia="tr-TR"/>
              </w:rPr>
            </w:pPr>
            <w:r w:rsidRPr="00CE7939">
              <w:rPr>
                <w:rFonts w:ascii="Times New Roman" w:eastAsia="Times New Roman" w:hAnsi="Times New Roman" w:cs="Times New Roman"/>
                <w:b/>
                <w:bCs/>
                <w:color w:val="000000"/>
                <w:sz w:val="24"/>
                <w:szCs w:val="24"/>
                <w:lang w:eastAsia="tr-TR"/>
              </w:rPr>
              <w:t>Toplam</w:t>
            </w:r>
          </w:p>
        </w:tc>
        <w:tc>
          <w:tcPr>
            <w:tcW w:w="3280" w:type="dxa"/>
            <w:tcBorders>
              <w:top w:val="nil"/>
              <w:left w:val="nil"/>
              <w:bottom w:val="single" w:sz="8" w:space="0" w:color="auto"/>
              <w:right w:val="single" w:sz="4" w:space="0" w:color="auto"/>
            </w:tcBorders>
            <w:shd w:val="clear" w:color="auto" w:fill="auto"/>
            <w:noWrap/>
            <w:vAlign w:val="bottom"/>
            <w:hideMark/>
          </w:tcPr>
          <w:p w14:paraId="4209B6E4" w14:textId="77777777" w:rsidR="00CE7939" w:rsidRPr="00CE7939" w:rsidRDefault="00CE7939" w:rsidP="00CE7939">
            <w:pPr>
              <w:spacing w:after="0" w:line="240" w:lineRule="auto"/>
              <w:jc w:val="center"/>
              <w:rPr>
                <w:rFonts w:ascii="Times New Roman" w:eastAsia="Times New Roman" w:hAnsi="Times New Roman" w:cs="Times New Roman"/>
                <w:color w:val="000000"/>
                <w:sz w:val="24"/>
                <w:szCs w:val="24"/>
                <w:lang w:eastAsia="tr-TR"/>
              </w:rPr>
            </w:pPr>
            <w:r w:rsidRPr="00CE7939">
              <w:rPr>
                <w:rFonts w:ascii="Times New Roman" w:eastAsia="Times New Roman" w:hAnsi="Times New Roman" w:cs="Times New Roman"/>
                <w:color w:val="000000"/>
                <w:sz w:val="24"/>
                <w:szCs w:val="24"/>
                <w:lang w:eastAsia="tr-TR"/>
              </w:rPr>
              <w:t>1,62</w:t>
            </w:r>
          </w:p>
        </w:tc>
        <w:tc>
          <w:tcPr>
            <w:tcW w:w="2300" w:type="dxa"/>
            <w:tcBorders>
              <w:top w:val="nil"/>
              <w:left w:val="nil"/>
              <w:bottom w:val="single" w:sz="8" w:space="0" w:color="auto"/>
              <w:right w:val="single" w:sz="8" w:space="0" w:color="auto"/>
            </w:tcBorders>
            <w:shd w:val="clear" w:color="auto" w:fill="auto"/>
            <w:noWrap/>
            <w:vAlign w:val="bottom"/>
            <w:hideMark/>
          </w:tcPr>
          <w:p w14:paraId="09BA2A77" w14:textId="77777777" w:rsidR="00CE7939" w:rsidRPr="00CE7939" w:rsidRDefault="00CE7939" w:rsidP="00CE7939">
            <w:pPr>
              <w:spacing w:after="0" w:line="240" w:lineRule="auto"/>
              <w:jc w:val="center"/>
              <w:rPr>
                <w:rFonts w:ascii="Times New Roman" w:eastAsia="Times New Roman" w:hAnsi="Times New Roman" w:cs="Times New Roman"/>
                <w:b/>
                <w:bCs/>
                <w:color w:val="000000"/>
                <w:sz w:val="24"/>
                <w:szCs w:val="24"/>
                <w:lang w:eastAsia="tr-TR"/>
              </w:rPr>
            </w:pPr>
            <w:r w:rsidRPr="00CE7939">
              <w:rPr>
                <w:rFonts w:ascii="Times New Roman" w:eastAsia="Times New Roman" w:hAnsi="Times New Roman" w:cs="Times New Roman"/>
                <w:b/>
                <w:bCs/>
                <w:color w:val="000000"/>
                <w:sz w:val="24"/>
                <w:szCs w:val="24"/>
                <w:lang w:eastAsia="tr-TR"/>
              </w:rPr>
              <w:t>10.843.200,18</w:t>
            </w:r>
          </w:p>
        </w:tc>
      </w:tr>
      <w:tr w:rsidR="00CE7939" w:rsidRPr="00CE7939" w14:paraId="74E8CF95" w14:textId="77777777" w:rsidTr="00CE7939">
        <w:trPr>
          <w:trHeight w:val="315"/>
        </w:trPr>
        <w:tc>
          <w:tcPr>
            <w:tcW w:w="3540" w:type="dxa"/>
            <w:tcBorders>
              <w:top w:val="nil"/>
              <w:left w:val="nil"/>
              <w:bottom w:val="nil"/>
              <w:right w:val="nil"/>
            </w:tcBorders>
            <w:shd w:val="clear" w:color="auto" w:fill="auto"/>
            <w:noWrap/>
            <w:vAlign w:val="bottom"/>
            <w:hideMark/>
          </w:tcPr>
          <w:p w14:paraId="65C208C3" w14:textId="77777777" w:rsidR="00CE7939" w:rsidRPr="00CE7939" w:rsidRDefault="00CE7939" w:rsidP="00CE7939">
            <w:pPr>
              <w:spacing w:after="0" w:line="240" w:lineRule="auto"/>
              <w:jc w:val="center"/>
              <w:rPr>
                <w:rFonts w:ascii="Times New Roman" w:eastAsia="Times New Roman" w:hAnsi="Times New Roman" w:cs="Times New Roman"/>
                <w:b/>
                <w:bCs/>
                <w:color w:val="000000"/>
                <w:sz w:val="24"/>
                <w:szCs w:val="24"/>
                <w:lang w:eastAsia="tr-TR"/>
              </w:rPr>
            </w:pPr>
          </w:p>
        </w:tc>
        <w:tc>
          <w:tcPr>
            <w:tcW w:w="3280" w:type="dxa"/>
            <w:tcBorders>
              <w:top w:val="nil"/>
              <w:left w:val="nil"/>
              <w:bottom w:val="nil"/>
              <w:right w:val="nil"/>
            </w:tcBorders>
            <w:shd w:val="clear" w:color="auto" w:fill="auto"/>
            <w:noWrap/>
            <w:vAlign w:val="bottom"/>
            <w:hideMark/>
          </w:tcPr>
          <w:p w14:paraId="5FD71607" w14:textId="77777777" w:rsidR="00CE7939" w:rsidRPr="00CE7939" w:rsidRDefault="00CE7939" w:rsidP="00CE7939">
            <w:pPr>
              <w:spacing w:after="0" w:line="240" w:lineRule="auto"/>
              <w:rPr>
                <w:rFonts w:ascii="Times New Roman" w:eastAsia="Times New Roman" w:hAnsi="Times New Roman" w:cs="Times New Roman"/>
                <w:sz w:val="20"/>
                <w:szCs w:val="20"/>
                <w:lang w:eastAsia="tr-TR"/>
              </w:rPr>
            </w:pPr>
          </w:p>
        </w:tc>
        <w:tc>
          <w:tcPr>
            <w:tcW w:w="2300" w:type="dxa"/>
            <w:tcBorders>
              <w:top w:val="nil"/>
              <w:left w:val="nil"/>
              <w:bottom w:val="nil"/>
              <w:right w:val="nil"/>
            </w:tcBorders>
            <w:shd w:val="clear" w:color="auto" w:fill="auto"/>
            <w:noWrap/>
            <w:vAlign w:val="bottom"/>
            <w:hideMark/>
          </w:tcPr>
          <w:p w14:paraId="5974E7AD" w14:textId="77777777" w:rsidR="00CE7939" w:rsidRPr="00CE7939" w:rsidRDefault="00CE7939" w:rsidP="00CE7939">
            <w:pPr>
              <w:spacing w:after="0" w:line="240" w:lineRule="auto"/>
              <w:rPr>
                <w:rFonts w:ascii="Times New Roman" w:eastAsia="Times New Roman" w:hAnsi="Times New Roman" w:cs="Times New Roman"/>
                <w:sz w:val="20"/>
                <w:szCs w:val="20"/>
                <w:lang w:eastAsia="tr-TR"/>
              </w:rPr>
            </w:pPr>
          </w:p>
        </w:tc>
      </w:tr>
      <w:tr w:rsidR="00CE7939" w:rsidRPr="00CE7939" w14:paraId="02C14582" w14:textId="77777777" w:rsidTr="00CE7939">
        <w:trPr>
          <w:trHeight w:val="330"/>
        </w:trPr>
        <w:tc>
          <w:tcPr>
            <w:tcW w:w="3540" w:type="dxa"/>
            <w:tcBorders>
              <w:top w:val="nil"/>
              <w:left w:val="nil"/>
              <w:bottom w:val="nil"/>
              <w:right w:val="nil"/>
            </w:tcBorders>
            <w:shd w:val="clear" w:color="auto" w:fill="auto"/>
            <w:noWrap/>
            <w:vAlign w:val="bottom"/>
            <w:hideMark/>
          </w:tcPr>
          <w:p w14:paraId="22706B03" w14:textId="77777777" w:rsidR="00CE7939" w:rsidRPr="00CE7939" w:rsidRDefault="00CE7939" w:rsidP="00CE7939">
            <w:pPr>
              <w:spacing w:after="0" w:line="240" w:lineRule="auto"/>
              <w:rPr>
                <w:rFonts w:ascii="Times New Roman" w:eastAsia="Times New Roman" w:hAnsi="Times New Roman" w:cs="Times New Roman"/>
                <w:sz w:val="20"/>
                <w:szCs w:val="20"/>
                <w:lang w:eastAsia="tr-TR"/>
              </w:rPr>
            </w:pPr>
          </w:p>
        </w:tc>
        <w:tc>
          <w:tcPr>
            <w:tcW w:w="3280" w:type="dxa"/>
            <w:tcBorders>
              <w:top w:val="nil"/>
              <w:left w:val="nil"/>
              <w:bottom w:val="nil"/>
              <w:right w:val="nil"/>
            </w:tcBorders>
            <w:shd w:val="clear" w:color="auto" w:fill="auto"/>
            <w:noWrap/>
            <w:vAlign w:val="bottom"/>
            <w:hideMark/>
          </w:tcPr>
          <w:p w14:paraId="4DC60A83" w14:textId="77777777" w:rsidR="00CE7939" w:rsidRPr="00CE7939" w:rsidRDefault="00CE7939" w:rsidP="00CE7939">
            <w:pPr>
              <w:spacing w:after="0" w:line="240" w:lineRule="auto"/>
              <w:rPr>
                <w:rFonts w:ascii="Times New Roman" w:eastAsia="Times New Roman" w:hAnsi="Times New Roman" w:cs="Times New Roman"/>
                <w:sz w:val="20"/>
                <w:szCs w:val="20"/>
                <w:lang w:eastAsia="tr-TR"/>
              </w:rPr>
            </w:pPr>
          </w:p>
        </w:tc>
        <w:tc>
          <w:tcPr>
            <w:tcW w:w="2300" w:type="dxa"/>
            <w:tcBorders>
              <w:top w:val="nil"/>
              <w:left w:val="nil"/>
              <w:bottom w:val="nil"/>
              <w:right w:val="nil"/>
            </w:tcBorders>
            <w:shd w:val="clear" w:color="auto" w:fill="auto"/>
            <w:noWrap/>
            <w:vAlign w:val="bottom"/>
            <w:hideMark/>
          </w:tcPr>
          <w:p w14:paraId="418E14D0" w14:textId="77777777" w:rsidR="00CE7939" w:rsidRPr="00CE7939" w:rsidRDefault="00CE7939" w:rsidP="00CE7939">
            <w:pPr>
              <w:spacing w:after="0" w:line="240" w:lineRule="auto"/>
              <w:rPr>
                <w:rFonts w:ascii="Times New Roman" w:eastAsia="Times New Roman" w:hAnsi="Times New Roman" w:cs="Times New Roman"/>
                <w:sz w:val="20"/>
                <w:szCs w:val="20"/>
                <w:lang w:eastAsia="tr-TR"/>
              </w:rPr>
            </w:pPr>
          </w:p>
        </w:tc>
      </w:tr>
      <w:tr w:rsidR="00CE7939" w:rsidRPr="00CE7939" w14:paraId="1353B770" w14:textId="77777777" w:rsidTr="00CE7939">
        <w:trPr>
          <w:trHeight w:val="315"/>
        </w:trPr>
        <w:tc>
          <w:tcPr>
            <w:tcW w:w="912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B944CD0" w14:textId="77777777" w:rsidR="00CE7939" w:rsidRPr="00CE7939" w:rsidRDefault="00CE7939" w:rsidP="00CE7939">
            <w:pPr>
              <w:spacing w:after="0" w:line="240" w:lineRule="auto"/>
              <w:jc w:val="center"/>
              <w:rPr>
                <w:rFonts w:ascii="Times New Roman" w:eastAsia="Times New Roman" w:hAnsi="Times New Roman" w:cs="Times New Roman"/>
                <w:b/>
                <w:bCs/>
                <w:color w:val="000000"/>
                <w:sz w:val="24"/>
                <w:szCs w:val="24"/>
                <w:lang w:eastAsia="tr-TR"/>
              </w:rPr>
            </w:pPr>
            <w:r w:rsidRPr="00CE7939">
              <w:rPr>
                <w:rFonts w:ascii="Times New Roman" w:eastAsia="Times New Roman" w:hAnsi="Times New Roman" w:cs="Times New Roman"/>
                <w:b/>
                <w:bCs/>
                <w:color w:val="000000"/>
                <w:sz w:val="24"/>
                <w:szCs w:val="24"/>
                <w:lang w:eastAsia="tr-TR"/>
              </w:rPr>
              <w:t>01 Ocak- 30 Haziran 2024</w:t>
            </w:r>
          </w:p>
        </w:tc>
      </w:tr>
      <w:tr w:rsidR="00CE7939" w:rsidRPr="00CE7939" w14:paraId="70E1F2A8" w14:textId="77777777" w:rsidTr="00CE7939">
        <w:trPr>
          <w:trHeight w:val="315"/>
        </w:trPr>
        <w:tc>
          <w:tcPr>
            <w:tcW w:w="6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DB0EF13" w14:textId="77777777" w:rsidR="00CE7939" w:rsidRPr="00CE7939" w:rsidRDefault="00CE7939" w:rsidP="00CE7939">
            <w:pPr>
              <w:spacing w:after="0" w:line="240" w:lineRule="auto"/>
              <w:rPr>
                <w:rFonts w:ascii="Times New Roman" w:eastAsia="Times New Roman" w:hAnsi="Times New Roman" w:cs="Times New Roman"/>
                <w:sz w:val="24"/>
                <w:szCs w:val="24"/>
                <w:lang w:eastAsia="tr-TR"/>
              </w:rPr>
            </w:pPr>
            <w:r w:rsidRPr="00CE7939">
              <w:rPr>
                <w:rFonts w:ascii="Times New Roman" w:eastAsia="Times New Roman" w:hAnsi="Times New Roman" w:cs="Times New Roman"/>
                <w:sz w:val="24"/>
                <w:szCs w:val="24"/>
                <w:lang w:eastAsia="tr-TR"/>
              </w:rPr>
              <w:t>Ortalama Fon Portföy Değeri</w:t>
            </w:r>
          </w:p>
        </w:tc>
        <w:tc>
          <w:tcPr>
            <w:tcW w:w="2300" w:type="dxa"/>
            <w:tcBorders>
              <w:top w:val="nil"/>
              <w:left w:val="nil"/>
              <w:bottom w:val="single" w:sz="4" w:space="0" w:color="auto"/>
              <w:right w:val="single" w:sz="8" w:space="0" w:color="auto"/>
            </w:tcBorders>
            <w:shd w:val="clear" w:color="auto" w:fill="auto"/>
            <w:noWrap/>
            <w:vAlign w:val="bottom"/>
            <w:hideMark/>
          </w:tcPr>
          <w:p w14:paraId="57D065E5" w14:textId="77777777" w:rsidR="00CE7939" w:rsidRPr="00CE7939" w:rsidRDefault="00CE7939" w:rsidP="00CE7939">
            <w:pPr>
              <w:spacing w:after="0" w:line="240" w:lineRule="auto"/>
              <w:jc w:val="center"/>
              <w:rPr>
                <w:rFonts w:ascii="Times New Roman" w:eastAsia="Times New Roman" w:hAnsi="Times New Roman" w:cs="Times New Roman"/>
                <w:color w:val="000000"/>
                <w:sz w:val="24"/>
                <w:szCs w:val="24"/>
                <w:lang w:eastAsia="tr-TR"/>
              </w:rPr>
            </w:pPr>
            <w:r w:rsidRPr="00CE7939">
              <w:rPr>
                <w:rFonts w:ascii="Times New Roman" w:eastAsia="Times New Roman" w:hAnsi="Times New Roman" w:cs="Times New Roman"/>
                <w:color w:val="000000"/>
                <w:sz w:val="24"/>
                <w:szCs w:val="24"/>
                <w:lang w:eastAsia="tr-TR"/>
              </w:rPr>
              <w:t>668.099.930,33</w:t>
            </w:r>
          </w:p>
        </w:tc>
      </w:tr>
      <w:tr w:rsidR="00CE7939" w:rsidRPr="00CE7939" w14:paraId="1D1B64FF" w14:textId="77777777" w:rsidTr="00CE7939">
        <w:trPr>
          <w:trHeight w:val="315"/>
        </w:trPr>
        <w:tc>
          <w:tcPr>
            <w:tcW w:w="6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7270986" w14:textId="77777777" w:rsidR="00CE7939" w:rsidRPr="00CE7939" w:rsidRDefault="00CE7939" w:rsidP="00CE7939">
            <w:pPr>
              <w:spacing w:after="0" w:line="240" w:lineRule="auto"/>
              <w:rPr>
                <w:rFonts w:ascii="Times New Roman" w:eastAsia="Times New Roman" w:hAnsi="Times New Roman" w:cs="Times New Roman"/>
                <w:color w:val="000000"/>
                <w:sz w:val="24"/>
                <w:szCs w:val="24"/>
                <w:lang w:eastAsia="tr-TR"/>
              </w:rPr>
            </w:pPr>
            <w:r w:rsidRPr="00CE7939">
              <w:rPr>
                <w:rFonts w:ascii="Times New Roman" w:eastAsia="Times New Roman" w:hAnsi="Times New Roman" w:cs="Times New Roman"/>
                <w:color w:val="000000"/>
                <w:sz w:val="24"/>
                <w:szCs w:val="24"/>
                <w:lang w:eastAsia="tr-TR"/>
              </w:rPr>
              <w:t>Toplam Faaliyet Giderleri</w:t>
            </w:r>
          </w:p>
        </w:tc>
        <w:tc>
          <w:tcPr>
            <w:tcW w:w="2300" w:type="dxa"/>
            <w:tcBorders>
              <w:top w:val="nil"/>
              <w:left w:val="nil"/>
              <w:bottom w:val="single" w:sz="4" w:space="0" w:color="auto"/>
              <w:right w:val="single" w:sz="8" w:space="0" w:color="auto"/>
            </w:tcBorders>
            <w:shd w:val="clear" w:color="auto" w:fill="auto"/>
            <w:noWrap/>
            <w:vAlign w:val="bottom"/>
            <w:hideMark/>
          </w:tcPr>
          <w:p w14:paraId="1FA52223" w14:textId="77777777" w:rsidR="00CE7939" w:rsidRPr="00CE7939" w:rsidRDefault="00CE7939" w:rsidP="00CE7939">
            <w:pPr>
              <w:spacing w:after="0" w:line="240" w:lineRule="auto"/>
              <w:jc w:val="center"/>
              <w:rPr>
                <w:rFonts w:ascii="Times New Roman" w:eastAsia="Times New Roman" w:hAnsi="Times New Roman" w:cs="Times New Roman"/>
                <w:color w:val="000000"/>
                <w:sz w:val="24"/>
                <w:szCs w:val="24"/>
                <w:lang w:eastAsia="tr-TR"/>
              </w:rPr>
            </w:pPr>
            <w:r w:rsidRPr="00CE7939">
              <w:rPr>
                <w:rFonts w:ascii="Times New Roman" w:eastAsia="Times New Roman" w:hAnsi="Times New Roman" w:cs="Times New Roman"/>
                <w:color w:val="000000"/>
                <w:sz w:val="24"/>
                <w:szCs w:val="24"/>
                <w:lang w:eastAsia="tr-TR"/>
              </w:rPr>
              <w:t>10.843.200,18</w:t>
            </w:r>
          </w:p>
        </w:tc>
      </w:tr>
      <w:tr w:rsidR="00CE7939" w:rsidRPr="00CE7939" w14:paraId="174AB3AD" w14:textId="77777777" w:rsidTr="00CE7939">
        <w:trPr>
          <w:trHeight w:val="330"/>
        </w:trPr>
        <w:tc>
          <w:tcPr>
            <w:tcW w:w="6820"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3EFE3AAB" w14:textId="77777777" w:rsidR="00CE7939" w:rsidRPr="00CE7939" w:rsidRDefault="00CE7939" w:rsidP="00CE7939">
            <w:pPr>
              <w:spacing w:after="0" w:line="240" w:lineRule="auto"/>
              <w:rPr>
                <w:rFonts w:ascii="Times New Roman" w:eastAsia="Times New Roman" w:hAnsi="Times New Roman" w:cs="Times New Roman"/>
                <w:sz w:val="24"/>
                <w:szCs w:val="24"/>
                <w:lang w:eastAsia="tr-TR"/>
              </w:rPr>
            </w:pPr>
            <w:r w:rsidRPr="00CE7939">
              <w:rPr>
                <w:rFonts w:ascii="Times New Roman" w:eastAsia="Times New Roman" w:hAnsi="Times New Roman" w:cs="Times New Roman"/>
                <w:sz w:val="24"/>
                <w:szCs w:val="24"/>
                <w:lang w:eastAsia="tr-TR"/>
              </w:rPr>
              <w:t>Toplam Faaliyet Giderleri / Ortalama Portföy Değeri (%)</w:t>
            </w:r>
          </w:p>
        </w:tc>
        <w:tc>
          <w:tcPr>
            <w:tcW w:w="2300" w:type="dxa"/>
            <w:tcBorders>
              <w:top w:val="nil"/>
              <w:left w:val="nil"/>
              <w:bottom w:val="single" w:sz="8" w:space="0" w:color="auto"/>
              <w:right w:val="single" w:sz="8" w:space="0" w:color="auto"/>
            </w:tcBorders>
            <w:shd w:val="clear" w:color="auto" w:fill="auto"/>
            <w:noWrap/>
            <w:vAlign w:val="bottom"/>
            <w:hideMark/>
          </w:tcPr>
          <w:p w14:paraId="3A1D7628" w14:textId="77777777" w:rsidR="00CE7939" w:rsidRPr="00CE7939" w:rsidRDefault="00CE7939" w:rsidP="00CE7939">
            <w:pPr>
              <w:spacing w:after="0" w:line="240" w:lineRule="auto"/>
              <w:jc w:val="center"/>
              <w:rPr>
                <w:rFonts w:ascii="Times New Roman" w:eastAsia="Times New Roman" w:hAnsi="Times New Roman" w:cs="Times New Roman"/>
                <w:sz w:val="24"/>
                <w:szCs w:val="24"/>
                <w:lang w:eastAsia="tr-TR"/>
              </w:rPr>
            </w:pPr>
            <w:r w:rsidRPr="00CE7939">
              <w:rPr>
                <w:rFonts w:ascii="Times New Roman" w:eastAsia="Times New Roman" w:hAnsi="Times New Roman" w:cs="Times New Roman"/>
                <w:sz w:val="24"/>
                <w:szCs w:val="24"/>
                <w:lang w:eastAsia="tr-TR"/>
              </w:rPr>
              <w:t>1,62</w:t>
            </w:r>
          </w:p>
        </w:tc>
      </w:tr>
    </w:tbl>
    <w:p w14:paraId="14883840" w14:textId="77777777" w:rsidR="00596C79" w:rsidRDefault="00596C79" w:rsidP="00596C79">
      <w:pPr>
        <w:spacing w:after="0"/>
        <w:jc w:val="both"/>
        <w:rPr>
          <w:rFonts w:ascii="Times New Roman" w:hAnsi="Times New Roman" w:cs="Times New Roman"/>
          <w:sz w:val="24"/>
          <w:szCs w:val="24"/>
        </w:rPr>
      </w:pPr>
    </w:p>
    <w:p w14:paraId="20F5F4A0" w14:textId="77777777" w:rsidR="003E18AB" w:rsidRPr="00C6319A" w:rsidRDefault="003E18AB" w:rsidP="00596C79">
      <w:pPr>
        <w:spacing w:after="0"/>
        <w:jc w:val="both"/>
        <w:rPr>
          <w:rFonts w:ascii="Times New Roman" w:hAnsi="Times New Roman" w:cs="Times New Roman"/>
          <w:sz w:val="24"/>
          <w:szCs w:val="24"/>
        </w:rPr>
      </w:pPr>
    </w:p>
    <w:p w14:paraId="31AD0ACF" w14:textId="56847293" w:rsidR="00313017" w:rsidRPr="00C6319A" w:rsidRDefault="00313017" w:rsidP="00C6319A">
      <w:pPr>
        <w:spacing w:after="0"/>
        <w:rPr>
          <w:rFonts w:ascii="Times New Roman" w:hAnsi="Times New Roman" w:cs="Times New Roman"/>
          <w:sz w:val="24"/>
          <w:szCs w:val="24"/>
        </w:rPr>
      </w:pPr>
    </w:p>
    <w:p w14:paraId="322C6744" w14:textId="77777777" w:rsidR="00313017" w:rsidRPr="00C6319A" w:rsidRDefault="00313017" w:rsidP="00CC7520">
      <w:pPr>
        <w:pStyle w:val="ListeParagraf"/>
        <w:spacing w:after="0"/>
        <w:rPr>
          <w:rFonts w:ascii="Times New Roman" w:hAnsi="Times New Roman" w:cs="Times New Roman"/>
          <w:sz w:val="24"/>
          <w:szCs w:val="24"/>
        </w:rPr>
      </w:pPr>
    </w:p>
    <w:p w14:paraId="54A010A4" w14:textId="4C091EAF" w:rsidR="00BF54DE" w:rsidRPr="00C6319A" w:rsidRDefault="00EE1C8B" w:rsidP="00BF54DE">
      <w:pPr>
        <w:pStyle w:val="ListeParagraf"/>
        <w:numPr>
          <w:ilvl w:val="0"/>
          <w:numId w:val="3"/>
        </w:numPr>
        <w:spacing w:after="0"/>
        <w:ind w:left="360" w:hanging="76"/>
        <w:jc w:val="both"/>
        <w:rPr>
          <w:rFonts w:ascii="Times New Roman" w:hAnsi="Times New Roman" w:cs="Times New Roman"/>
          <w:sz w:val="24"/>
          <w:szCs w:val="24"/>
        </w:rPr>
      </w:pPr>
      <w:r w:rsidRPr="00C6319A">
        <w:rPr>
          <w:rFonts w:ascii="Times New Roman" w:hAnsi="Times New Roman" w:cs="Times New Roman"/>
          <w:sz w:val="24"/>
          <w:szCs w:val="24"/>
        </w:rPr>
        <w:t>P</w:t>
      </w:r>
      <w:r w:rsidR="00CC7520" w:rsidRPr="00C6319A">
        <w:rPr>
          <w:rFonts w:ascii="Times New Roman" w:hAnsi="Times New Roman" w:cs="Times New Roman"/>
          <w:sz w:val="24"/>
          <w:szCs w:val="24"/>
        </w:rPr>
        <w:t>erformans sunum dönemi içinde eşik değerinde</w:t>
      </w:r>
      <w:r w:rsidR="00E07EFA">
        <w:rPr>
          <w:rFonts w:ascii="Times New Roman" w:hAnsi="Times New Roman" w:cs="Times New Roman"/>
          <w:sz w:val="24"/>
          <w:szCs w:val="24"/>
        </w:rPr>
        <w:t xml:space="preserve"> ve yatırım stratejisinde</w:t>
      </w:r>
      <w:r w:rsidR="00CC7520" w:rsidRPr="00C6319A">
        <w:rPr>
          <w:rFonts w:ascii="Times New Roman" w:hAnsi="Times New Roman" w:cs="Times New Roman"/>
          <w:sz w:val="24"/>
          <w:szCs w:val="24"/>
        </w:rPr>
        <w:t xml:space="preserve"> herhangi bir değişiklik yapılmamıştır.</w:t>
      </w:r>
    </w:p>
    <w:p w14:paraId="212CA115" w14:textId="77777777" w:rsidR="00C6319A" w:rsidRPr="00C6319A" w:rsidRDefault="00C6319A" w:rsidP="00C6319A">
      <w:pPr>
        <w:pStyle w:val="ListeParagraf"/>
        <w:spacing w:after="0"/>
        <w:jc w:val="both"/>
        <w:rPr>
          <w:rFonts w:ascii="Times New Roman" w:hAnsi="Times New Roman" w:cs="Times New Roman"/>
          <w:sz w:val="24"/>
          <w:szCs w:val="24"/>
        </w:rPr>
      </w:pPr>
    </w:p>
    <w:p w14:paraId="67F48501" w14:textId="77777777" w:rsidR="00C6319A" w:rsidRPr="00C6319A" w:rsidRDefault="00C6319A" w:rsidP="00C6319A">
      <w:pPr>
        <w:spacing w:after="0"/>
        <w:jc w:val="both"/>
        <w:rPr>
          <w:rFonts w:ascii="Times New Roman" w:hAnsi="Times New Roman" w:cs="Times New Roman"/>
          <w:sz w:val="24"/>
          <w:szCs w:val="24"/>
        </w:rPr>
      </w:pPr>
    </w:p>
    <w:p w14:paraId="280EE8FF" w14:textId="77777777" w:rsidR="00313017" w:rsidRPr="00C6319A" w:rsidRDefault="00313017" w:rsidP="00313017">
      <w:pPr>
        <w:spacing w:after="0"/>
        <w:jc w:val="both"/>
        <w:rPr>
          <w:rFonts w:ascii="Times New Roman" w:hAnsi="Times New Roman" w:cs="Times New Roman"/>
          <w:sz w:val="24"/>
          <w:szCs w:val="24"/>
        </w:rPr>
      </w:pPr>
    </w:p>
    <w:p w14:paraId="4F70F238" w14:textId="4B1476BA" w:rsidR="00BF54DE" w:rsidRDefault="00BA5438" w:rsidP="0014766B">
      <w:pPr>
        <w:spacing w:after="0"/>
        <w:jc w:val="both"/>
        <w:rPr>
          <w:rFonts w:ascii="Times New Roman" w:hAnsi="Times New Roman" w:cs="Times New Roman"/>
        </w:rPr>
      </w:pPr>
      <w:r w:rsidRPr="00BA5438">
        <w:rPr>
          <w:rFonts w:ascii="Times New Roman" w:hAnsi="Times New Roman" w:cs="Times New Roman"/>
        </w:rPr>
        <w:t>Fon’un ve katılma payı satın alanların vergilendirilmesine ilişkin esaslara www.gib.gov.tr adresinden ulaşılabilir.</w:t>
      </w:r>
    </w:p>
    <w:p w14:paraId="05A0FBF0" w14:textId="77777777" w:rsidR="00BA5438" w:rsidRPr="00BA5438" w:rsidRDefault="00BA5438" w:rsidP="0014766B">
      <w:pPr>
        <w:spacing w:after="0"/>
        <w:jc w:val="both"/>
        <w:rPr>
          <w:rFonts w:ascii="Times New Roman" w:hAnsi="Times New Roman" w:cs="Times New Roman"/>
          <w:sz w:val="24"/>
          <w:szCs w:val="24"/>
        </w:rPr>
      </w:pPr>
    </w:p>
    <w:p w14:paraId="1937CA62" w14:textId="77777777" w:rsidR="00275FAF" w:rsidRPr="00C6319A" w:rsidRDefault="00275FAF" w:rsidP="00275FAF">
      <w:pPr>
        <w:pStyle w:val="ListeParagraf"/>
        <w:numPr>
          <w:ilvl w:val="0"/>
          <w:numId w:val="1"/>
        </w:numPr>
        <w:spacing w:after="0"/>
        <w:rPr>
          <w:rFonts w:ascii="Times New Roman" w:hAnsi="Times New Roman" w:cs="Times New Roman"/>
          <w:b/>
          <w:sz w:val="24"/>
          <w:szCs w:val="24"/>
        </w:rPr>
      </w:pPr>
      <w:r w:rsidRPr="00C6319A">
        <w:rPr>
          <w:rFonts w:ascii="Times New Roman" w:hAnsi="Times New Roman" w:cs="Times New Roman"/>
          <w:b/>
          <w:sz w:val="24"/>
          <w:szCs w:val="24"/>
        </w:rPr>
        <w:t>İLAVE BİLGİLER VE AÇIKLAMALAR</w:t>
      </w:r>
    </w:p>
    <w:p w14:paraId="0C5BD4F7" w14:textId="77777777" w:rsidR="00275FAF" w:rsidRPr="00C6319A" w:rsidRDefault="00275FAF" w:rsidP="001B1C6E">
      <w:pPr>
        <w:spacing w:after="0"/>
        <w:ind w:left="360"/>
        <w:jc w:val="both"/>
        <w:rPr>
          <w:rFonts w:ascii="Times New Roman" w:hAnsi="Times New Roman" w:cs="Times New Roman"/>
          <w:b/>
          <w:sz w:val="24"/>
          <w:szCs w:val="24"/>
        </w:rPr>
      </w:pPr>
    </w:p>
    <w:p w14:paraId="3A05C685" w14:textId="696ECC11" w:rsidR="00275FAF" w:rsidRPr="00C6319A" w:rsidRDefault="00275FAF" w:rsidP="002735C8">
      <w:pPr>
        <w:pStyle w:val="ListeParagraf"/>
        <w:numPr>
          <w:ilvl w:val="0"/>
          <w:numId w:val="7"/>
        </w:numPr>
        <w:spacing w:after="0"/>
        <w:ind w:left="426" w:firstLine="0"/>
        <w:jc w:val="both"/>
        <w:rPr>
          <w:rFonts w:ascii="Times New Roman" w:hAnsi="Times New Roman" w:cs="Times New Roman"/>
          <w:b/>
          <w:sz w:val="24"/>
          <w:szCs w:val="24"/>
        </w:rPr>
      </w:pPr>
      <w:r w:rsidRPr="00C6319A">
        <w:rPr>
          <w:rFonts w:ascii="Times New Roman" w:hAnsi="Times New Roman" w:cs="Times New Roman"/>
          <w:sz w:val="24"/>
          <w:szCs w:val="24"/>
        </w:rPr>
        <w:t>Fon, Performans Sunuş Raporu’nu, Sermaye Piyasası Kurulu’nun (“SPK”) 1 Temmuz 2014 tarihinde yürürlüğe giren “Bireysel Portföylerin ve Kolektif Yatırım Kuruluşlarının Performans Sunumuna, Performansa Dayalı Ücretlendirilmesine ve Kolektif Yatırım Kuruluşlarını Notlandırma ve Sıralama Faaliyetlerine İlişkin Esaslar Hakkında Tebliğ (VII-128.5</w:t>
      </w:r>
      <w:r w:rsidR="0023421B" w:rsidRPr="00C6319A">
        <w:rPr>
          <w:rFonts w:ascii="Times New Roman" w:hAnsi="Times New Roman" w:cs="Times New Roman"/>
          <w:sz w:val="24"/>
          <w:szCs w:val="24"/>
        </w:rPr>
        <w:t>)” inin</w:t>
      </w:r>
      <w:r w:rsidRPr="00C6319A">
        <w:rPr>
          <w:rFonts w:ascii="Times New Roman" w:hAnsi="Times New Roman" w:cs="Times New Roman"/>
          <w:sz w:val="24"/>
          <w:szCs w:val="24"/>
        </w:rPr>
        <w:t xml:space="preserve"> (“Tebliğ”) hükümleri doğrultusunda hazırlanmıştır.</w:t>
      </w:r>
    </w:p>
    <w:p w14:paraId="0A9DBE67" w14:textId="77777777" w:rsidR="0041052D" w:rsidRPr="00C6319A" w:rsidRDefault="0041052D" w:rsidP="00FC3E22">
      <w:pPr>
        <w:spacing w:after="0"/>
        <w:jc w:val="both"/>
        <w:rPr>
          <w:rFonts w:ascii="Times New Roman" w:hAnsi="Times New Roman" w:cs="Times New Roman"/>
          <w:b/>
          <w:sz w:val="24"/>
          <w:szCs w:val="24"/>
        </w:rPr>
      </w:pPr>
    </w:p>
    <w:p w14:paraId="609E1FFA" w14:textId="77777777" w:rsidR="00275FAF" w:rsidRDefault="00275FAF" w:rsidP="002735C8">
      <w:pPr>
        <w:pStyle w:val="ListeParagraf"/>
        <w:numPr>
          <w:ilvl w:val="0"/>
          <w:numId w:val="7"/>
        </w:numPr>
        <w:spacing w:after="0"/>
        <w:ind w:left="426" w:hanging="66"/>
        <w:jc w:val="both"/>
        <w:rPr>
          <w:rFonts w:ascii="Times New Roman" w:hAnsi="Times New Roman" w:cs="Times New Roman"/>
          <w:sz w:val="24"/>
          <w:szCs w:val="24"/>
        </w:rPr>
      </w:pPr>
      <w:r w:rsidRPr="00C6319A">
        <w:rPr>
          <w:rFonts w:ascii="Times New Roman" w:hAnsi="Times New Roman" w:cs="Times New Roman"/>
          <w:sz w:val="24"/>
          <w:szCs w:val="24"/>
        </w:rPr>
        <w:t>Yatırımcılar Fon’a yatırım yapmadan önce Fon’la ilgili temel yatırım risklerini değerlendirmelidirler. Fon’un maruz kalabileceği temel risklerden kaynaklanabilecek değişimler sonucunda Fon birim pay fiyatındaki olası düşüşlere bağlı olarak yatırımlarının değerinin başlangıç değerinin altına düşebileceğini yatırımcılar göz önünde bulundurmalıdırlar. Fon’un</w:t>
      </w:r>
      <w:r w:rsidR="001B1C6E" w:rsidRPr="00C6319A">
        <w:rPr>
          <w:rFonts w:ascii="Times New Roman" w:hAnsi="Times New Roman" w:cs="Times New Roman"/>
          <w:sz w:val="24"/>
          <w:szCs w:val="24"/>
        </w:rPr>
        <w:t xml:space="preserve"> maruz kalabileceği riskler aşağıdaki gibidir:</w:t>
      </w:r>
    </w:p>
    <w:p w14:paraId="5359B9C7" w14:textId="77777777" w:rsidR="00E07EFA" w:rsidRPr="00E07EFA" w:rsidRDefault="00E07EFA" w:rsidP="00E07EFA">
      <w:pPr>
        <w:pStyle w:val="ListeParagraf"/>
        <w:rPr>
          <w:rFonts w:ascii="Times New Roman" w:hAnsi="Times New Roman" w:cs="Times New Roman"/>
          <w:sz w:val="24"/>
          <w:szCs w:val="24"/>
        </w:rPr>
      </w:pPr>
    </w:p>
    <w:p w14:paraId="7543F3B2" w14:textId="77777777" w:rsidR="00E07EFA" w:rsidRPr="00A10C9D" w:rsidRDefault="00E07EFA" w:rsidP="00E07EFA">
      <w:pPr>
        <w:spacing w:after="0" w:line="240" w:lineRule="auto"/>
        <w:ind w:firstLine="709"/>
        <w:jc w:val="both"/>
        <w:rPr>
          <w:rFonts w:ascii="Times New Roman" w:eastAsia="Times New Roman" w:hAnsi="Times New Roman"/>
          <w:sz w:val="24"/>
          <w:szCs w:val="24"/>
        </w:rPr>
      </w:pPr>
      <w:r w:rsidRPr="00A10C9D">
        <w:rPr>
          <w:rFonts w:ascii="Times New Roman" w:eastAsia="Times New Roman" w:hAnsi="Times New Roman"/>
          <w:b/>
          <w:sz w:val="24"/>
          <w:szCs w:val="24"/>
        </w:rPr>
        <w:t>1) Piyasa Riski:</w:t>
      </w:r>
      <w:r w:rsidRPr="00A10C9D">
        <w:rPr>
          <w:rFonts w:ascii="Times New Roman" w:eastAsia="Times New Roman" w:hAnsi="Times New Roman"/>
          <w:sz w:val="24"/>
          <w:szCs w:val="24"/>
        </w:rPr>
        <w:t xml:space="preserve"> Piyasa riski ile borçlanmayı temsil eden finansal araçların, ortaklık paylarının, diğer menkul kıymetlerin, finansal araçlara dayalı türev sözleşmelere ilişkin taşınan pozisyonların değerinde, faiz oranları, ortaklık payı fiyatlarındaki dalgalanmalar nedeniyle meydana gelebilecek zarar riski ifade edilmektedir. Söz konusu risklerin detaylarına aşağıda yer verilmektedir:</w:t>
      </w:r>
    </w:p>
    <w:p w14:paraId="4AE8E28F" w14:textId="77777777" w:rsidR="00E07EFA" w:rsidRPr="00A10C9D" w:rsidRDefault="00E07EFA" w:rsidP="00E07EFA">
      <w:pPr>
        <w:spacing w:after="0" w:line="240" w:lineRule="auto"/>
        <w:ind w:firstLine="709"/>
        <w:jc w:val="both"/>
        <w:rPr>
          <w:rFonts w:ascii="Times New Roman" w:eastAsia="Times New Roman" w:hAnsi="Times New Roman"/>
          <w:sz w:val="24"/>
          <w:szCs w:val="24"/>
        </w:rPr>
      </w:pPr>
    </w:p>
    <w:p w14:paraId="63485B31" w14:textId="77777777" w:rsidR="00E07EFA" w:rsidRPr="00A10C9D" w:rsidRDefault="00E07EFA" w:rsidP="00E07EFA">
      <w:pPr>
        <w:spacing w:after="0" w:line="240" w:lineRule="auto"/>
        <w:ind w:left="708" w:firstLine="1"/>
        <w:jc w:val="both"/>
        <w:rPr>
          <w:rFonts w:ascii="Times New Roman" w:eastAsia="Times New Roman" w:hAnsi="Times New Roman"/>
          <w:sz w:val="24"/>
          <w:szCs w:val="24"/>
        </w:rPr>
      </w:pPr>
      <w:r w:rsidRPr="00A10C9D">
        <w:rPr>
          <w:rFonts w:ascii="Times New Roman" w:eastAsia="Times New Roman" w:hAnsi="Times New Roman"/>
          <w:b/>
          <w:sz w:val="24"/>
          <w:szCs w:val="24"/>
        </w:rPr>
        <w:t>a- Faiz Oranı Riski</w:t>
      </w:r>
      <w:r w:rsidRPr="00A10C9D">
        <w:rPr>
          <w:rFonts w:ascii="Times New Roman" w:eastAsia="Times New Roman" w:hAnsi="Times New Roman"/>
          <w:sz w:val="24"/>
          <w:szCs w:val="24"/>
        </w:rPr>
        <w:t xml:space="preserve">: Fon portföyüne faize dayalı varlıkların (borçlanma aracı, ters repo vb) dahil edilmesi halinde, söz konusu varlıkların değerinde piyasalarda yaşanabilecek faiz oranları değişimleri nedeniyle oluşan riski ifade eder. </w:t>
      </w:r>
    </w:p>
    <w:p w14:paraId="69DF5F6F" w14:textId="77777777" w:rsidR="00E07EFA" w:rsidRPr="00A10C9D" w:rsidRDefault="00E07EFA" w:rsidP="00E07EFA">
      <w:pPr>
        <w:spacing w:after="0" w:line="240" w:lineRule="auto"/>
        <w:ind w:left="708" w:firstLine="1"/>
        <w:jc w:val="both"/>
        <w:rPr>
          <w:rFonts w:ascii="Times New Roman" w:eastAsia="Times New Roman" w:hAnsi="Times New Roman"/>
          <w:sz w:val="24"/>
          <w:szCs w:val="24"/>
        </w:rPr>
      </w:pPr>
    </w:p>
    <w:p w14:paraId="395D1019" w14:textId="77777777" w:rsidR="00E07EFA" w:rsidRPr="00A10C9D" w:rsidRDefault="00E07EFA" w:rsidP="00E07EFA">
      <w:pPr>
        <w:spacing w:after="0" w:line="240" w:lineRule="auto"/>
        <w:ind w:left="708" w:firstLine="1"/>
        <w:jc w:val="both"/>
        <w:rPr>
          <w:rFonts w:ascii="Times New Roman" w:eastAsia="Times New Roman" w:hAnsi="Times New Roman"/>
          <w:sz w:val="24"/>
          <w:szCs w:val="24"/>
        </w:rPr>
      </w:pPr>
      <w:r w:rsidRPr="00A10C9D">
        <w:rPr>
          <w:rFonts w:ascii="Times New Roman" w:eastAsia="Times New Roman" w:hAnsi="Times New Roman"/>
          <w:b/>
          <w:sz w:val="24"/>
          <w:szCs w:val="24"/>
        </w:rPr>
        <w:t>b- Ortaklık Payı Fiyat Riski:</w:t>
      </w:r>
      <w:r w:rsidRPr="00A10C9D">
        <w:rPr>
          <w:rFonts w:ascii="Times New Roman" w:eastAsia="Times New Roman" w:hAnsi="Times New Roman"/>
          <w:sz w:val="24"/>
          <w:szCs w:val="24"/>
        </w:rPr>
        <w:t xml:space="preserve"> Fon portföyüne ortaklık payı dahil edilmesi halinde, Fon portföyünde bulunan ortaklık paylarının fiyatlarında meydana gelebilecek değişiklikler nedeniyle portföyün maruz kalacağı zarar olasılığını ifade etmektedir. </w:t>
      </w:r>
    </w:p>
    <w:p w14:paraId="423F62B4" w14:textId="77777777" w:rsidR="00E07EFA" w:rsidRPr="00A10C9D" w:rsidRDefault="00E07EFA" w:rsidP="00E07EFA">
      <w:pPr>
        <w:spacing w:after="0" w:line="240" w:lineRule="auto"/>
        <w:ind w:left="708" w:firstLine="1"/>
        <w:jc w:val="both"/>
        <w:rPr>
          <w:rFonts w:ascii="Times New Roman" w:eastAsia="Times New Roman" w:hAnsi="Times New Roman"/>
          <w:sz w:val="24"/>
          <w:szCs w:val="24"/>
        </w:rPr>
      </w:pPr>
    </w:p>
    <w:p w14:paraId="14BA6225" w14:textId="77777777" w:rsidR="00E07EFA" w:rsidRPr="00A10C9D" w:rsidRDefault="00E07EFA" w:rsidP="00E07EFA">
      <w:pPr>
        <w:spacing w:after="0" w:line="240" w:lineRule="auto"/>
        <w:ind w:left="708" w:firstLine="1"/>
        <w:jc w:val="both"/>
        <w:rPr>
          <w:rFonts w:ascii="Times New Roman" w:eastAsia="Times New Roman" w:hAnsi="Times New Roman"/>
          <w:sz w:val="24"/>
          <w:szCs w:val="24"/>
        </w:rPr>
      </w:pPr>
      <w:r w:rsidRPr="00A10C9D">
        <w:rPr>
          <w:rFonts w:ascii="Times New Roman" w:eastAsia="Times New Roman" w:hAnsi="Times New Roman"/>
          <w:b/>
          <w:sz w:val="24"/>
          <w:szCs w:val="24"/>
        </w:rPr>
        <w:t>c- Kar Payı Oranı Riski:</w:t>
      </w:r>
      <w:r w:rsidRPr="00A10C9D">
        <w:rPr>
          <w:rFonts w:ascii="Times New Roman" w:eastAsia="Times New Roman" w:hAnsi="Times New Roman"/>
          <w:sz w:val="24"/>
          <w:szCs w:val="24"/>
        </w:rPr>
        <w:t xml:space="preserve"> Fon portföyüne kara katılım olanağı sağlayan bankacılık ürünlerinin dahil edilmesi halinde, beklenen kar payı miktarında piyasalarda meydana gelebilecek kar payı oranı değişimleri nedeniyle oluşan riski ifade etmektedir. </w:t>
      </w:r>
    </w:p>
    <w:p w14:paraId="46AA17BE" w14:textId="77777777" w:rsidR="00E07EFA" w:rsidRPr="00A10C9D" w:rsidRDefault="00E07EFA" w:rsidP="00E07EFA">
      <w:pPr>
        <w:spacing w:after="0" w:line="240" w:lineRule="auto"/>
        <w:jc w:val="both"/>
        <w:rPr>
          <w:rFonts w:ascii="Times New Roman" w:eastAsia="Times New Roman" w:hAnsi="Times New Roman"/>
          <w:sz w:val="24"/>
          <w:szCs w:val="24"/>
        </w:rPr>
      </w:pPr>
    </w:p>
    <w:p w14:paraId="065DB642" w14:textId="77777777" w:rsidR="00E07EFA" w:rsidRPr="00A10C9D" w:rsidRDefault="00E07EFA" w:rsidP="00E07EFA">
      <w:pPr>
        <w:spacing w:after="0" w:line="240" w:lineRule="auto"/>
        <w:jc w:val="both"/>
        <w:rPr>
          <w:rFonts w:ascii="Times New Roman" w:eastAsia="Times New Roman" w:hAnsi="Times New Roman"/>
          <w:bCs/>
          <w:sz w:val="24"/>
          <w:szCs w:val="24"/>
        </w:rPr>
      </w:pPr>
      <w:r w:rsidRPr="00A10C9D">
        <w:rPr>
          <w:rFonts w:ascii="Times New Roman" w:eastAsia="Times New Roman" w:hAnsi="Times New Roman"/>
          <w:b/>
          <w:sz w:val="24"/>
          <w:szCs w:val="24"/>
        </w:rPr>
        <w:tab/>
        <w:t>2)</w:t>
      </w:r>
      <w:r w:rsidRPr="00A10C9D">
        <w:rPr>
          <w:rFonts w:ascii="Times New Roman" w:eastAsia="Times New Roman" w:hAnsi="Times New Roman"/>
          <w:sz w:val="24"/>
          <w:szCs w:val="24"/>
        </w:rPr>
        <w:t xml:space="preserve"> </w:t>
      </w:r>
      <w:r w:rsidRPr="00A10C9D">
        <w:rPr>
          <w:rFonts w:ascii="Times New Roman" w:eastAsia="Times New Roman" w:hAnsi="Times New Roman"/>
          <w:b/>
          <w:sz w:val="24"/>
          <w:szCs w:val="24"/>
        </w:rPr>
        <w:t>Karşı Taraf Riski:</w:t>
      </w:r>
      <w:r w:rsidRPr="00A10C9D">
        <w:rPr>
          <w:rFonts w:ascii="Times New Roman" w:eastAsia="Times New Roman" w:hAnsi="Times New Roman"/>
          <w:sz w:val="24"/>
          <w:szCs w:val="24"/>
        </w:rPr>
        <w:t xml:space="preserve"> Karşı tarafın sözleşmeden kaynaklanan yükümlülüklerini yerine getirmek istememesi ve/veya yerine getirememesi veya takas işlemlerinde ortaya çıkan aksaklıklar sonucunda ödemenin yapılamaması riskini ifade etmektedir. </w:t>
      </w:r>
    </w:p>
    <w:p w14:paraId="5425BA79" w14:textId="77777777" w:rsidR="00E07EFA" w:rsidRPr="00A10C9D" w:rsidRDefault="00E07EFA" w:rsidP="00E07EFA">
      <w:pPr>
        <w:spacing w:after="0" w:line="240" w:lineRule="auto"/>
        <w:jc w:val="both"/>
        <w:rPr>
          <w:rFonts w:ascii="Times New Roman" w:eastAsia="Times New Roman" w:hAnsi="Times New Roman"/>
          <w:bCs/>
          <w:sz w:val="24"/>
          <w:szCs w:val="24"/>
        </w:rPr>
      </w:pPr>
    </w:p>
    <w:p w14:paraId="466F8C26" w14:textId="77777777" w:rsidR="00E07EFA" w:rsidRPr="00A10C9D" w:rsidRDefault="00E07EFA" w:rsidP="00E07EFA">
      <w:pPr>
        <w:spacing w:after="0" w:line="240" w:lineRule="auto"/>
        <w:jc w:val="both"/>
        <w:rPr>
          <w:rFonts w:ascii="Times New Roman" w:eastAsia="Times New Roman" w:hAnsi="Times New Roman"/>
          <w:sz w:val="24"/>
          <w:szCs w:val="24"/>
        </w:rPr>
      </w:pPr>
      <w:r w:rsidRPr="00A10C9D">
        <w:rPr>
          <w:rFonts w:ascii="Times New Roman" w:eastAsia="Times New Roman" w:hAnsi="Times New Roman"/>
          <w:b/>
          <w:sz w:val="24"/>
          <w:szCs w:val="24"/>
        </w:rPr>
        <w:tab/>
        <w:t>3) Likidite Riski:</w:t>
      </w:r>
      <w:r w:rsidRPr="00A10C9D">
        <w:rPr>
          <w:rFonts w:ascii="Times New Roman" w:eastAsia="Times New Roman" w:hAnsi="Times New Roman"/>
          <w:sz w:val="24"/>
          <w:szCs w:val="24"/>
        </w:rPr>
        <w:t xml:space="preserve"> Fon portföyünde bulunan finansal varlıkların istenildiği anda piyasa fiyatından nakde dönüştürülememesi halinde ortaya çıkan zarar olasılığıdır.</w:t>
      </w:r>
    </w:p>
    <w:p w14:paraId="40605FA0" w14:textId="77777777" w:rsidR="00E07EFA" w:rsidRPr="00A10C9D" w:rsidRDefault="00E07EFA" w:rsidP="00E07EFA">
      <w:pPr>
        <w:spacing w:after="0" w:line="240" w:lineRule="auto"/>
        <w:jc w:val="both"/>
        <w:rPr>
          <w:rFonts w:ascii="Times New Roman" w:eastAsia="Times New Roman" w:hAnsi="Times New Roman"/>
          <w:bCs/>
          <w:sz w:val="24"/>
          <w:szCs w:val="24"/>
        </w:rPr>
      </w:pPr>
    </w:p>
    <w:p w14:paraId="4C416473" w14:textId="77777777" w:rsidR="00E07EFA" w:rsidRPr="00A10C9D" w:rsidRDefault="00E07EFA" w:rsidP="00E07EFA">
      <w:pPr>
        <w:spacing w:after="0" w:line="240" w:lineRule="auto"/>
        <w:jc w:val="both"/>
        <w:rPr>
          <w:rFonts w:ascii="Times New Roman" w:eastAsia="Times New Roman" w:hAnsi="Times New Roman"/>
          <w:sz w:val="24"/>
          <w:szCs w:val="24"/>
        </w:rPr>
      </w:pPr>
      <w:r w:rsidRPr="00A10C9D">
        <w:rPr>
          <w:rFonts w:ascii="Times New Roman" w:eastAsia="Times New Roman" w:hAnsi="Times New Roman"/>
          <w:b/>
          <w:sz w:val="24"/>
          <w:szCs w:val="24"/>
        </w:rPr>
        <w:tab/>
        <w:t xml:space="preserve">4) Kaldıraç Yaratan İşlem Riski: </w:t>
      </w:r>
      <w:r w:rsidRPr="00A10C9D">
        <w:rPr>
          <w:rFonts w:ascii="Times New Roman" w:eastAsia="Times New Roman" w:hAnsi="Times New Roman"/>
          <w:sz w:val="24"/>
          <w:szCs w:val="24"/>
        </w:rPr>
        <w:t xml:space="preserve">Fon portföyüne türev araç (vadeli işlem ve opsiyon sözleşmeleri), varant, sertifika dahil edilmesi, ileri valörlü tahvil/bono işlemlerinde ve diğer herhangi bir yöntemle kaldıraç yaratan benzeri işlemlerde bulunulması halinde, başlangıç </w:t>
      </w:r>
      <w:r w:rsidRPr="00A10C9D">
        <w:rPr>
          <w:rFonts w:ascii="Times New Roman" w:eastAsia="Times New Roman" w:hAnsi="Times New Roman"/>
          <w:sz w:val="24"/>
          <w:szCs w:val="24"/>
        </w:rPr>
        <w:lastRenderedPageBreak/>
        <w:t>yatırımı ile başlangıç yatırımının üzerinde pozisyon alınması sebebi ile fonun başlangıç yatırımından daha yüksek zarar kaydedebilme olasılığı kaldıraç riskini ifade eder.</w:t>
      </w:r>
    </w:p>
    <w:p w14:paraId="03B77C21" w14:textId="77777777" w:rsidR="00E07EFA" w:rsidRPr="00A10C9D" w:rsidRDefault="00E07EFA" w:rsidP="00E07EFA">
      <w:pPr>
        <w:spacing w:after="0" w:line="240" w:lineRule="auto"/>
        <w:jc w:val="both"/>
        <w:rPr>
          <w:rFonts w:ascii="Times New Roman" w:eastAsia="Times New Roman" w:hAnsi="Times New Roman"/>
          <w:sz w:val="24"/>
          <w:szCs w:val="24"/>
        </w:rPr>
      </w:pPr>
    </w:p>
    <w:p w14:paraId="3121A421" w14:textId="77777777" w:rsidR="00E07EFA" w:rsidRPr="00A10C9D" w:rsidRDefault="00E07EFA" w:rsidP="00E07EFA">
      <w:pPr>
        <w:spacing w:after="0" w:line="240" w:lineRule="auto"/>
        <w:jc w:val="both"/>
        <w:rPr>
          <w:rFonts w:ascii="Times New Roman" w:eastAsia="Times New Roman" w:hAnsi="Times New Roman"/>
          <w:sz w:val="24"/>
          <w:szCs w:val="24"/>
        </w:rPr>
      </w:pPr>
      <w:r w:rsidRPr="00A10C9D">
        <w:rPr>
          <w:rFonts w:ascii="Times New Roman" w:eastAsia="Times New Roman" w:hAnsi="Times New Roman"/>
          <w:b/>
          <w:sz w:val="24"/>
          <w:szCs w:val="24"/>
        </w:rPr>
        <w:tab/>
        <w:t>5) Operasyonel Risk</w:t>
      </w:r>
      <w:r w:rsidRPr="00A10C9D">
        <w:rPr>
          <w:rFonts w:ascii="Times New Roman" w:eastAsia="Times New Roman" w:hAnsi="Times New Roman"/>
          <w:sz w:val="24"/>
          <w:szCs w:val="24"/>
        </w:rPr>
        <w:t>: Operasyonel risk, fonun operasyonel süreçlerindeki aksamalar sonucunda zarar oluşması olasılığını ifade eder. Operasyonel riskin kaynakları arasında kullanılan sistemlerin yetersizliği, başarısız yönetim, personelin hatalı ya da hileli işlemleri gibi kurum içi etkenlerin yanı sıra doğal afetler, rekabet koşulları, politik rejim değişikliği gibi kurum dışı etkenler de olabilir.</w:t>
      </w:r>
    </w:p>
    <w:p w14:paraId="72A24AEB" w14:textId="77777777" w:rsidR="00E07EFA" w:rsidRPr="00A10C9D" w:rsidRDefault="00E07EFA" w:rsidP="00E07EFA">
      <w:pPr>
        <w:spacing w:after="0" w:line="240" w:lineRule="auto"/>
        <w:jc w:val="both"/>
        <w:rPr>
          <w:rFonts w:ascii="Times New Roman" w:eastAsia="Times New Roman" w:hAnsi="Times New Roman"/>
          <w:sz w:val="24"/>
          <w:szCs w:val="24"/>
        </w:rPr>
      </w:pPr>
    </w:p>
    <w:p w14:paraId="57211DC5" w14:textId="77777777" w:rsidR="00E07EFA" w:rsidRPr="00A10C9D" w:rsidRDefault="00E07EFA" w:rsidP="00E07EFA">
      <w:pPr>
        <w:spacing w:after="0" w:line="240" w:lineRule="auto"/>
        <w:jc w:val="both"/>
        <w:rPr>
          <w:rFonts w:ascii="Times New Roman" w:eastAsia="Times New Roman" w:hAnsi="Times New Roman"/>
          <w:sz w:val="24"/>
          <w:szCs w:val="24"/>
        </w:rPr>
      </w:pPr>
      <w:r w:rsidRPr="00A10C9D">
        <w:rPr>
          <w:rFonts w:ascii="Times New Roman" w:eastAsia="Times New Roman" w:hAnsi="Times New Roman"/>
          <w:b/>
          <w:sz w:val="24"/>
          <w:szCs w:val="24"/>
        </w:rPr>
        <w:tab/>
        <w:t>6) Yoğunlaşma Riski:</w:t>
      </w:r>
      <w:r w:rsidRPr="00A10C9D">
        <w:rPr>
          <w:rFonts w:ascii="Times New Roman" w:eastAsia="Times New Roman" w:hAnsi="Times New Roman"/>
          <w:sz w:val="24"/>
          <w:szCs w:val="24"/>
        </w:rPr>
        <w:t xml:space="preserve"> Belli bir varlığa ve/veya vadeye yoğun yatırım yapılması sonucu fonun bu varlığın ve vadenin içerdiği risklere maruz kalmasıdır.</w:t>
      </w:r>
    </w:p>
    <w:p w14:paraId="2C7FE6E9" w14:textId="77777777" w:rsidR="00E07EFA" w:rsidRPr="00A10C9D" w:rsidRDefault="00E07EFA" w:rsidP="00E07EFA">
      <w:pPr>
        <w:spacing w:after="0" w:line="240" w:lineRule="auto"/>
        <w:jc w:val="both"/>
        <w:rPr>
          <w:rFonts w:ascii="Times New Roman" w:eastAsia="Times New Roman" w:hAnsi="Times New Roman"/>
          <w:sz w:val="24"/>
          <w:szCs w:val="24"/>
        </w:rPr>
      </w:pPr>
      <w:r w:rsidRPr="00A10C9D">
        <w:rPr>
          <w:rFonts w:ascii="Times New Roman" w:eastAsia="Times New Roman" w:hAnsi="Times New Roman"/>
          <w:sz w:val="24"/>
          <w:szCs w:val="24"/>
        </w:rPr>
        <w:tab/>
      </w:r>
    </w:p>
    <w:p w14:paraId="41CA320A" w14:textId="77777777" w:rsidR="00E07EFA" w:rsidRPr="00A10C9D" w:rsidRDefault="00E07EFA" w:rsidP="00E07EFA">
      <w:pPr>
        <w:spacing w:after="0" w:line="240" w:lineRule="auto"/>
        <w:jc w:val="both"/>
        <w:rPr>
          <w:rFonts w:ascii="Times New Roman" w:eastAsia="Times New Roman" w:hAnsi="Times New Roman"/>
          <w:sz w:val="24"/>
          <w:szCs w:val="24"/>
        </w:rPr>
      </w:pPr>
      <w:r w:rsidRPr="00A10C9D">
        <w:rPr>
          <w:rFonts w:ascii="Times New Roman" w:eastAsia="Times New Roman" w:hAnsi="Times New Roman"/>
          <w:sz w:val="24"/>
          <w:szCs w:val="24"/>
        </w:rPr>
        <w:tab/>
      </w:r>
      <w:r w:rsidRPr="00A10C9D">
        <w:rPr>
          <w:rFonts w:ascii="Times New Roman" w:eastAsia="Times New Roman" w:hAnsi="Times New Roman"/>
          <w:b/>
          <w:sz w:val="24"/>
          <w:szCs w:val="24"/>
        </w:rPr>
        <w:t>7) Korelasyon Riski:</w:t>
      </w:r>
      <w:r w:rsidRPr="00A10C9D">
        <w:rPr>
          <w:rFonts w:ascii="Times New Roman" w:eastAsia="Times New Roman" w:hAnsi="Times New Roman"/>
          <w:sz w:val="24"/>
          <w:szCs w:val="24"/>
        </w:rPr>
        <w:t xml:space="preserve"> Farklı finansal varlıkların piyasa koşulları altında belirli bir zaman dilimi içerisinde aynı anda değer kazanması ya da kaybetmesine paralel olarak, en az iki farklı finansal varlığın birbirleri ile olan pozitif veya negatif yönlü ilişkileri nedeniyle doğabilecek zarar ihtimalini ifade eder.</w:t>
      </w:r>
    </w:p>
    <w:p w14:paraId="04EE88B9" w14:textId="77777777" w:rsidR="00E07EFA" w:rsidRPr="00A10C9D" w:rsidRDefault="00E07EFA" w:rsidP="00E07EFA">
      <w:pPr>
        <w:spacing w:after="0" w:line="240" w:lineRule="auto"/>
        <w:jc w:val="both"/>
        <w:rPr>
          <w:rFonts w:ascii="Times New Roman" w:eastAsia="Times New Roman" w:hAnsi="Times New Roman"/>
          <w:sz w:val="24"/>
          <w:szCs w:val="24"/>
        </w:rPr>
      </w:pPr>
    </w:p>
    <w:p w14:paraId="4DFFC193" w14:textId="77777777" w:rsidR="00E07EFA" w:rsidRPr="00A10C9D" w:rsidRDefault="00E07EFA" w:rsidP="00E07EFA">
      <w:pPr>
        <w:spacing w:after="0" w:line="240" w:lineRule="auto"/>
        <w:jc w:val="both"/>
        <w:rPr>
          <w:rFonts w:ascii="Times New Roman" w:eastAsia="Times New Roman" w:hAnsi="Times New Roman"/>
          <w:sz w:val="24"/>
          <w:szCs w:val="24"/>
        </w:rPr>
      </w:pPr>
      <w:r w:rsidRPr="00A10C9D">
        <w:rPr>
          <w:rFonts w:ascii="Times New Roman" w:eastAsia="Times New Roman" w:hAnsi="Times New Roman"/>
          <w:b/>
          <w:sz w:val="24"/>
          <w:szCs w:val="24"/>
        </w:rPr>
        <w:tab/>
        <w:t>8) Yasal Risk:</w:t>
      </w:r>
      <w:r w:rsidRPr="00A10C9D">
        <w:rPr>
          <w:rFonts w:ascii="Times New Roman" w:eastAsia="Times New Roman" w:hAnsi="Times New Roman"/>
          <w:sz w:val="24"/>
          <w:szCs w:val="24"/>
        </w:rPr>
        <w:t xml:space="preserve"> Fonun halka arz edildiği dönemden sonra mevzuatta ve düzenleyici otoritelerin düzenlemelerinde meydana gelebilecek değişiklerden olumsuz etkilenmesi riskidir.</w:t>
      </w:r>
    </w:p>
    <w:p w14:paraId="67B21039" w14:textId="77777777" w:rsidR="00E07EFA" w:rsidRPr="00A10C9D" w:rsidRDefault="00E07EFA" w:rsidP="00E07EFA">
      <w:pPr>
        <w:spacing w:after="0" w:line="240" w:lineRule="auto"/>
        <w:jc w:val="both"/>
        <w:rPr>
          <w:rFonts w:ascii="Times New Roman" w:eastAsia="Times New Roman" w:hAnsi="Times New Roman"/>
          <w:sz w:val="24"/>
          <w:szCs w:val="24"/>
        </w:rPr>
      </w:pPr>
    </w:p>
    <w:p w14:paraId="35254328" w14:textId="77777777" w:rsidR="00E07EFA" w:rsidRPr="00A10C9D" w:rsidRDefault="00E07EFA" w:rsidP="00E07EFA">
      <w:pPr>
        <w:spacing w:after="0" w:line="240" w:lineRule="auto"/>
        <w:jc w:val="both"/>
        <w:rPr>
          <w:rFonts w:ascii="Times New Roman" w:eastAsia="Times New Roman" w:hAnsi="Times New Roman"/>
          <w:sz w:val="24"/>
          <w:szCs w:val="24"/>
        </w:rPr>
      </w:pPr>
      <w:r w:rsidRPr="00A10C9D">
        <w:rPr>
          <w:rFonts w:ascii="Times New Roman" w:eastAsia="Times New Roman" w:hAnsi="Times New Roman"/>
          <w:sz w:val="24"/>
          <w:szCs w:val="24"/>
        </w:rPr>
        <w:t xml:space="preserve">     </w:t>
      </w:r>
      <w:r w:rsidRPr="00A10C9D">
        <w:rPr>
          <w:rFonts w:ascii="Times New Roman" w:eastAsia="Times New Roman" w:hAnsi="Times New Roman"/>
          <w:sz w:val="24"/>
          <w:szCs w:val="24"/>
        </w:rPr>
        <w:tab/>
      </w:r>
      <w:r w:rsidRPr="00A10C9D">
        <w:rPr>
          <w:rFonts w:ascii="Times New Roman" w:eastAsia="Times New Roman" w:hAnsi="Times New Roman"/>
          <w:b/>
          <w:sz w:val="24"/>
          <w:szCs w:val="24"/>
        </w:rPr>
        <w:t xml:space="preserve">9) İhraççı Riski: </w:t>
      </w:r>
      <w:r w:rsidRPr="00A10C9D">
        <w:rPr>
          <w:rFonts w:ascii="Times New Roman" w:eastAsia="Times New Roman" w:hAnsi="Times New Roman"/>
          <w:sz w:val="24"/>
          <w:szCs w:val="24"/>
        </w:rPr>
        <w:t>Fon portföyüne alınan varlıkların</w:t>
      </w:r>
      <w:r w:rsidRPr="00A10C9D">
        <w:rPr>
          <w:rFonts w:ascii="Times New Roman" w:eastAsia="Times New Roman" w:hAnsi="Times New Roman"/>
          <w:b/>
          <w:sz w:val="24"/>
          <w:szCs w:val="24"/>
        </w:rPr>
        <w:t xml:space="preserve"> </w:t>
      </w:r>
      <w:r w:rsidRPr="00A10C9D">
        <w:rPr>
          <w:rFonts w:ascii="Times New Roman" w:eastAsia="Times New Roman" w:hAnsi="Times New Roman"/>
          <w:sz w:val="24"/>
          <w:szCs w:val="24"/>
        </w:rPr>
        <w:t>ihraççısının yükümlülüklerini kısmen veya tamamen zamanında yerine getirememesi nedeniyle doğabilecek zarar ihtimalini ifade eder.</w:t>
      </w:r>
    </w:p>
    <w:p w14:paraId="77ECD379" w14:textId="461E3143" w:rsidR="00E07EFA" w:rsidRPr="00A10C9D" w:rsidRDefault="00E07EFA" w:rsidP="005D3109">
      <w:pPr>
        <w:spacing w:after="0" w:line="240" w:lineRule="auto"/>
        <w:jc w:val="both"/>
        <w:rPr>
          <w:rFonts w:ascii="Times New Roman" w:eastAsia="Times New Roman" w:hAnsi="Times New Roman"/>
          <w:sz w:val="24"/>
          <w:szCs w:val="24"/>
        </w:rPr>
      </w:pPr>
    </w:p>
    <w:p w14:paraId="5379B9E0" w14:textId="77777777" w:rsidR="00E07EFA" w:rsidRPr="00A10C9D" w:rsidRDefault="00E07EFA" w:rsidP="00E07EFA">
      <w:pPr>
        <w:spacing w:after="0" w:line="240" w:lineRule="auto"/>
        <w:ind w:firstLine="708"/>
        <w:jc w:val="both"/>
        <w:rPr>
          <w:rFonts w:ascii="Times New Roman" w:eastAsia="Times New Roman" w:hAnsi="Times New Roman"/>
          <w:sz w:val="24"/>
          <w:szCs w:val="24"/>
        </w:rPr>
      </w:pPr>
    </w:p>
    <w:p w14:paraId="7FDC9605" w14:textId="5BC3D6FE" w:rsidR="00E07EFA" w:rsidRPr="00A10C9D" w:rsidRDefault="00E07EFA" w:rsidP="00E07EFA">
      <w:pPr>
        <w:spacing w:after="0" w:line="240" w:lineRule="auto"/>
        <w:ind w:firstLine="708"/>
        <w:jc w:val="both"/>
        <w:rPr>
          <w:rFonts w:ascii="Times New Roman" w:eastAsia="Times New Roman" w:hAnsi="Times New Roman"/>
          <w:sz w:val="24"/>
          <w:szCs w:val="24"/>
        </w:rPr>
      </w:pPr>
      <w:r w:rsidRPr="00A10C9D">
        <w:rPr>
          <w:rFonts w:ascii="Times New Roman" w:eastAsia="Times New Roman" w:hAnsi="Times New Roman"/>
          <w:b/>
          <w:sz w:val="24"/>
          <w:szCs w:val="24"/>
        </w:rPr>
        <w:t>1</w:t>
      </w:r>
      <w:r w:rsidR="005D3109">
        <w:rPr>
          <w:rFonts w:ascii="Times New Roman" w:eastAsia="Times New Roman" w:hAnsi="Times New Roman"/>
          <w:b/>
          <w:sz w:val="24"/>
          <w:szCs w:val="24"/>
        </w:rPr>
        <w:t>0</w:t>
      </w:r>
      <w:r w:rsidRPr="00A10C9D">
        <w:rPr>
          <w:rFonts w:ascii="Times New Roman" w:eastAsia="Times New Roman" w:hAnsi="Times New Roman"/>
          <w:b/>
          <w:sz w:val="24"/>
          <w:szCs w:val="24"/>
        </w:rPr>
        <w:t>) Teminat Riski:</w:t>
      </w:r>
      <w:r w:rsidRPr="00A10C9D">
        <w:rPr>
          <w:rFonts w:ascii="Times New Roman" w:eastAsia="Times New Roman" w:hAnsi="Times New Roman"/>
          <w:sz w:val="24"/>
          <w:szCs w:val="24"/>
        </w:rPr>
        <w:t xml:space="preserve"> Türev araçlar üzerinden alınan bir pozisyonun güvencesi olarak alınan teminatın piyasa değerinin beklenen türev pozisyon değerini karşılayamaması veya doğrudan teminatın niteliği ile ilgili olumsuzlukların ortaya çıkması durumudur. </w:t>
      </w:r>
    </w:p>
    <w:p w14:paraId="4C74413D" w14:textId="77777777" w:rsidR="00E07EFA" w:rsidRPr="00A10C9D" w:rsidRDefault="00E07EFA" w:rsidP="00E07EFA">
      <w:pPr>
        <w:spacing w:after="0" w:line="240" w:lineRule="auto"/>
        <w:ind w:firstLine="708"/>
        <w:jc w:val="both"/>
        <w:rPr>
          <w:rFonts w:ascii="Times New Roman" w:eastAsia="Times New Roman" w:hAnsi="Times New Roman"/>
          <w:sz w:val="24"/>
          <w:szCs w:val="24"/>
        </w:rPr>
      </w:pPr>
    </w:p>
    <w:p w14:paraId="04AE5CD9" w14:textId="77777777" w:rsidR="005D3109" w:rsidRPr="005D3109" w:rsidRDefault="005D3109" w:rsidP="005D3109">
      <w:pPr>
        <w:spacing w:after="0" w:line="240" w:lineRule="auto"/>
        <w:ind w:firstLine="708"/>
        <w:jc w:val="both"/>
        <w:rPr>
          <w:rFonts w:ascii="Times New Roman" w:eastAsia="Times New Roman" w:hAnsi="Times New Roman"/>
          <w:bCs/>
          <w:sz w:val="24"/>
          <w:szCs w:val="24"/>
        </w:rPr>
      </w:pPr>
      <w:r w:rsidRPr="005D3109">
        <w:rPr>
          <w:rFonts w:ascii="Times New Roman" w:eastAsia="Times New Roman" w:hAnsi="Times New Roman"/>
          <w:b/>
          <w:sz w:val="24"/>
          <w:szCs w:val="24"/>
        </w:rPr>
        <w:t xml:space="preserve">11) Baz Riski: </w:t>
      </w:r>
      <w:r w:rsidRPr="005D3109">
        <w:rPr>
          <w:rFonts w:ascii="Times New Roman" w:eastAsia="Times New Roman" w:hAnsi="Times New Roman"/>
          <w:bCs/>
          <w:sz w:val="24"/>
          <w:szCs w:val="24"/>
        </w:rPr>
        <w:t xml:space="preserve">Vadeli işlem kontratlarının cari değeri ile sözleşme konusu finansal enstrümanın spot fiyatının aldığı değer arasındaki fiyat farklılığı değişimini ifade etmektedir. Sözleşmede belirlenen vade sonunda vadeli fiyat ile spot fiyat birbirine eşit olmaktadır. Ancak fon portföyü içerisinde yer alan ilgili vadeli finansal enstrümanlarda işlem yapılan tarih ile vade sonu arasında geçen zaman içerisinde vadeli fiyat ile spot fiyat teorik fiyatlamadan farklı olmaktadır. Dolayısı ile burada baz değerin sözleşme vadesi boyunca göstereceği riski ifade etmektedir. </w:t>
      </w:r>
    </w:p>
    <w:p w14:paraId="6E9381A6" w14:textId="77777777" w:rsidR="005D3109" w:rsidRPr="005D3109" w:rsidRDefault="005D3109" w:rsidP="005D3109">
      <w:pPr>
        <w:spacing w:after="0" w:line="240" w:lineRule="auto"/>
        <w:ind w:firstLine="708"/>
        <w:jc w:val="both"/>
        <w:rPr>
          <w:rFonts w:ascii="Times New Roman" w:eastAsia="Times New Roman" w:hAnsi="Times New Roman"/>
          <w:bCs/>
          <w:sz w:val="24"/>
          <w:szCs w:val="24"/>
        </w:rPr>
      </w:pPr>
      <w:r w:rsidRPr="005D3109">
        <w:rPr>
          <w:rFonts w:ascii="Times New Roman" w:eastAsia="Times New Roman" w:hAnsi="Times New Roman"/>
          <w:b/>
          <w:sz w:val="24"/>
          <w:szCs w:val="24"/>
        </w:rPr>
        <w:t xml:space="preserve">12) Opsiyon </w:t>
      </w:r>
      <w:r w:rsidRPr="005D3109">
        <w:rPr>
          <w:rFonts w:ascii="Times New Roman" w:eastAsia="Times New Roman" w:hAnsi="Times New Roman"/>
          <w:bCs/>
          <w:sz w:val="24"/>
          <w:szCs w:val="24"/>
        </w:rPr>
        <w:t xml:space="preserve">Duyarlılık Riskleri: Opsiyon portföylerinde risk duyarlıkları arasında, işleme konu olan spot finansal ürün fiyat değişiminde çok farklı miktarda risk duyarlılık değişimleri yaşanabilmektedir. </w:t>
      </w:r>
    </w:p>
    <w:p w14:paraId="0A981F5C" w14:textId="77777777" w:rsidR="005D3109" w:rsidRPr="005D3109" w:rsidRDefault="005D3109" w:rsidP="005D3109">
      <w:pPr>
        <w:spacing w:after="0" w:line="240" w:lineRule="auto"/>
        <w:ind w:firstLine="708"/>
        <w:jc w:val="both"/>
        <w:rPr>
          <w:rFonts w:ascii="Times New Roman" w:eastAsia="Times New Roman" w:hAnsi="Times New Roman"/>
          <w:bCs/>
          <w:sz w:val="24"/>
          <w:szCs w:val="24"/>
        </w:rPr>
      </w:pPr>
      <w:r w:rsidRPr="005D3109">
        <w:rPr>
          <w:rFonts w:ascii="Times New Roman" w:eastAsia="Times New Roman" w:hAnsi="Times New Roman"/>
          <w:bCs/>
          <w:sz w:val="24"/>
          <w:szCs w:val="24"/>
        </w:rPr>
        <w:t xml:space="preserve">• Delta; opsiyonun yazıldığı ilgili finansal varlığın fiyatındaki bir birim değişmenin opsiyon priminde oluşturduğu değişimi göstermektedir. </w:t>
      </w:r>
    </w:p>
    <w:p w14:paraId="26ABA825" w14:textId="77777777" w:rsidR="005D3109" w:rsidRPr="005D3109" w:rsidRDefault="005D3109" w:rsidP="005D3109">
      <w:pPr>
        <w:spacing w:after="0" w:line="240" w:lineRule="auto"/>
        <w:ind w:firstLine="708"/>
        <w:jc w:val="both"/>
        <w:rPr>
          <w:rFonts w:ascii="Times New Roman" w:eastAsia="Times New Roman" w:hAnsi="Times New Roman"/>
          <w:bCs/>
          <w:sz w:val="24"/>
          <w:szCs w:val="24"/>
        </w:rPr>
      </w:pPr>
      <w:r w:rsidRPr="005D3109">
        <w:rPr>
          <w:rFonts w:ascii="Times New Roman" w:eastAsia="Times New Roman" w:hAnsi="Times New Roman"/>
          <w:bCs/>
          <w:sz w:val="24"/>
          <w:szCs w:val="24"/>
        </w:rPr>
        <w:t xml:space="preserve">• Gamma; Opsiyonun ilgili olduğu varlığın fiyatındaki değişimin opsiyonun deltasında meydana getirdiği değişimi ölçmektedir. </w:t>
      </w:r>
    </w:p>
    <w:p w14:paraId="1BAD13AB" w14:textId="77777777" w:rsidR="005D3109" w:rsidRPr="005D3109" w:rsidRDefault="005D3109" w:rsidP="005D3109">
      <w:pPr>
        <w:spacing w:after="0" w:line="240" w:lineRule="auto"/>
        <w:ind w:firstLine="708"/>
        <w:jc w:val="both"/>
        <w:rPr>
          <w:rFonts w:ascii="Times New Roman" w:eastAsia="Times New Roman" w:hAnsi="Times New Roman"/>
          <w:bCs/>
          <w:sz w:val="24"/>
          <w:szCs w:val="24"/>
        </w:rPr>
      </w:pPr>
      <w:r w:rsidRPr="005D3109">
        <w:rPr>
          <w:rFonts w:ascii="Times New Roman" w:eastAsia="Times New Roman" w:hAnsi="Times New Roman"/>
          <w:bCs/>
          <w:sz w:val="24"/>
          <w:szCs w:val="24"/>
        </w:rPr>
        <w:t xml:space="preserve">• Theta; Risk ölçümlerinde büyük önem taşıyan zaman faktörünü ifade eden gösterge olup, opsiyon fiyatının vadeye göre değişiminin ölçüsüdür. </w:t>
      </w:r>
    </w:p>
    <w:p w14:paraId="576C6FD5" w14:textId="77777777" w:rsidR="005D3109" w:rsidRPr="005D3109" w:rsidRDefault="005D3109" w:rsidP="005D3109">
      <w:pPr>
        <w:spacing w:after="0" w:line="240" w:lineRule="auto"/>
        <w:ind w:firstLine="708"/>
        <w:jc w:val="both"/>
        <w:rPr>
          <w:rFonts w:ascii="Times New Roman" w:eastAsia="Times New Roman" w:hAnsi="Times New Roman"/>
          <w:bCs/>
          <w:sz w:val="24"/>
          <w:szCs w:val="24"/>
        </w:rPr>
      </w:pPr>
      <w:r w:rsidRPr="005D3109">
        <w:rPr>
          <w:rFonts w:ascii="Times New Roman" w:eastAsia="Times New Roman" w:hAnsi="Times New Roman"/>
          <w:bCs/>
          <w:sz w:val="24"/>
          <w:szCs w:val="24"/>
        </w:rPr>
        <w:t xml:space="preserve">• Rho; Faiz oranlarındaki yüzdesel değişimin opsiyonun fiyatında oluşturduğu değişimin ölçüsüdür. </w:t>
      </w:r>
    </w:p>
    <w:p w14:paraId="21905AD2" w14:textId="77777777" w:rsidR="005D3109" w:rsidRPr="005D3109" w:rsidRDefault="005D3109" w:rsidP="005D3109">
      <w:pPr>
        <w:spacing w:after="0" w:line="240" w:lineRule="auto"/>
        <w:ind w:firstLine="708"/>
        <w:jc w:val="both"/>
        <w:rPr>
          <w:rFonts w:ascii="Times New Roman" w:eastAsia="Times New Roman" w:hAnsi="Times New Roman"/>
          <w:bCs/>
          <w:sz w:val="24"/>
          <w:szCs w:val="24"/>
        </w:rPr>
      </w:pPr>
      <w:r w:rsidRPr="005D3109">
        <w:rPr>
          <w:rFonts w:ascii="Times New Roman" w:eastAsia="Times New Roman" w:hAnsi="Times New Roman"/>
          <w:bCs/>
          <w:sz w:val="24"/>
          <w:szCs w:val="24"/>
        </w:rPr>
        <w:lastRenderedPageBreak/>
        <w:t xml:space="preserve">• Vega; Opsiyonun dayandığı varlığın fiyat dalgalanırlığındaki birim değişimin opsiyon priminde oluşturduğu değişimdir. </w:t>
      </w:r>
    </w:p>
    <w:p w14:paraId="08A9E45F" w14:textId="5EAD741D" w:rsidR="005D3109" w:rsidRPr="005D3109" w:rsidRDefault="005D3109" w:rsidP="005D3109">
      <w:pPr>
        <w:spacing w:after="0" w:line="240" w:lineRule="auto"/>
        <w:ind w:firstLine="708"/>
        <w:jc w:val="both"/>
        <w:rPr>
          <w:rFonts w:ascii="Times New Roman" w:eastAsia="Times New Roman" w:hAnsi="Times New Roman"/>
          <w:b/>
          <w:sz w:val="24"/>
          <w:szCs w:val="24"/>
        </w:rPr>
      </w:pPr>
      <w:r w:rsidRPr="005D3109">
        <w:rPr>
          <w:rFonts w:ascii="Times New Roman" w:eastAsia="Times New Roman" w:hAnsi="Times New Roman"/>
          <w:b/>
          <w:sz w:val="24"/>
          <w:szCs w:val="24"/>
        </w:rPr>
        <w:t xml:space="preserve">13) Yapılandırılmış Yatırım/Borçlanma Araçları Riskleri: </w:t>
      </w:r>
      <w:r w:rsidRPr="005D3109">
        <w:rPr>
          <w:rFonts w:ascii="Times New Roman" w:eastAsia="Times New Roman" w:hAnsi="Times New Roman"/>
          <w:bCs/>
          <w:sz w:val="24"/>
          <w:szCs w:val="24"/>
        </w:rPr>
        <w:t xml:space="preserve">Yapılandırılmış yatırım /borçlanma araçlarının değeri ve dönem sonu getirisi faiz ödemesinin yanında dayanak varlığın piyasa performansına bağlıdır. Yapılandırılmış yatırım/borçlanma araçlarının dayanak varlıkları üzerine oluşturulan stratejilerin getirisinin ilgili dönemde negatif olması halinde, yatırımcı vade sonunda hiçbir itfa geliri elde edemeyeceği gibi, performansla orantılı olarak vade sonunda elde edilen itfa tutarı nominal değerden daha düşük de olabilir. Bununla birlikte, yapılandırılmış yatırım/borçlanma araçlarının günlük fiyat oluşumunda piyasa faizlerinde yaşanabilecek değişimler ve dayanak varlık fiyat değişimleri de etkili olabilmektedir. Piyasa faizlerinde ve dayanak varlık fiyatında yaşanabilecek dalgalanmalar yapılandırılmış yatırım/borçlanma araçlarının günlük değerlemesini etkileyebilmektedir. Fonun Riske Maruz Değer (RMD) hesaplamalarında türev araçlarla birlikte Yapılandırılmış yatırım/borçlanma araçlarından kaynaklanan piyasa riskleri de dikkate alınır. Yapılandırılmış yatırım/borçlanma araçları yatırımı yapılması halinde karşı taraf riski de mevcuttur. Karşı taraf riski, ihraççı kurumun yapılandırılmış yatırım/borçlanma aracından kaynaklanan yükümlülüklerini yerine getirememe riskini ifade eder. Karşı taraf riskini minimum seviyede tutabilmek adına, yapılandırılmış yatırım/borçlanma araçları yatırımlarında ihraççının ve/veya varsa yatırım aracının Fon Tebliği’nin 32’nci maddesinde belirtilen derecelendirme notuna sahip olması koşulu aranır. </w:t>
      </w:r>
    </w:p>
    <w:p w14:paraId="283EC240" w14:textId="77777777" w:rsidR="005D3109" w:rsidRPr="005D3109" w:rsidRDefault="005D3109" w:rsidP="005D3109">
      <w:pPr>
        <w:spacing w:after="0" w:line="240" w:lineRule="auto"/>
        <w:ind w:firstLine="708"/>
        <w:jc w:val="both"/>
        <w:rPr>
          <w:rFonts w:ascii="Times New Roman" w:eastAsia="Times New Roman" w:hAnsi="Times New Roman"/>
          <w:b/>
          <w:sz w:val="24"/>
          <w:szCs w:val="24"/>
        </w:rPr>
      </w:pPr>
      <w:r w:rsidRPr="005D3109">
        <w:rPr>
          <w:rFonts w:ascii="Times New Roman" w:eastAsia="Times New Roman" w:hAnsi="Times New Roman"/>
          <w:b/>
          <w:sz w:val="24"/>
          <w:szCs w:val="24"/>
        </w:rPr>
        <w:t xml:space="preserve">14) Açığa Satış Riski: </w:t>
      </w:r>
      <w:r w:rsidRPr="005D3109">
        <w:rPr>
          <w:rFonts w:ascii="Times New Roman" w:eastAsia="Times New Roman" w:hAnsi="Times New Roman"/>
          <w:bCs/>
          <w:sz w:val="24"/>
          <w:szCs w:val="24"/>
        </w:rPr>
        <w:t>Fon Portföyü içerisinden açığa satım yapılacak olan ilgili finansal enstrümanlarda piyasa likiditesinin daralması dolayısı ile ödünç karşılığı ve/veya doğrudan açığa satım imkanlarının azalması durumunu ifade etmektedir.</w:t>
      </w:r>
      <w:r w:rsidRPr="005D3109">
        <w:rPr>
          <w:rFonts w:ascii="Times New Roman" w:eastAsia="Times New Roman" w:hAnsi="Times New Roman"/>
          <w:b/>
          <w:sz w:val="24"/>
          <w:szCs w:val="24"/>
        </w:rPr>
        <w:t xml:space="preserve"> </w:t>
      </w:r>
    </w:p>
    <w:p w14:paraId="6E4ABEE7" w14:textId="77777777" w:rsidR="005D3109" w:rsidRPr="005D3109" w:rsidRDefault="005D3109" w:rsidP="005D3109">
      <w:pPr>
        <w:spacing w:after="0" w:line="240" w:lineRule="auto"/>
        <w:ind w:firstLine="708"/>
        <w:jc w:val="both"/>
        <w:rPr>
          <w:rFonts w:ascii="Times New Roman" w:eastAsia="Times New Roman" w:hAnsi="Times New Roman"/>
          <w:b/>
          <w:sz w:val="24"/>
          <w:szCs w:val="24"/>
        </w:rPr>
      </w:pPr>
      <w:r w:rsidRPr="005D3109">
        <w:rPr>
          <w:rFonts w:ascii="Times New Roman" w:eastAsia="Times New Roman" w:hAnsi="Times New Roman"/>
          <w:b/>
          <w:sz w:val="24"/>
          <w:szCs w:val="24"/>
        </w:rPr>
        <w:t>15) İşlemin Sonuçlandırılamaması Riski:</w:t>
      </w:r>
      <w:r w:rsidRPr="005D3109">
        <w:rPr>
          <w:rFonts w:ascii="Times New Roman" w:eastAsia="Times New Roman" w:hAnsi="Times New Roman"/>
          <w:bCs/>
          <w:sz w:val="24"/>
          <w:szCs w:val="24"/>
        </w:rPr>
        <w:t xml:space="preserve"> Olağanüstü koşullar nedeniyle ödeme ve takas sistemlerindeki bozulmanın, durmanın, çökmenin yarattığı risktir. </w:t>
      </w:r>
    </w:p>
    <w:p w14:paraId="1431BD52" w14:textId="400776AD" w:rsidR="005D3109" w:rsidRPr="005D3109" w:rsidRDefault="005D3109" w:rsidP="005D3109">
      <w:pPr>
        <w:spacing w:after="0" w:line="240" w:lineRule="auto"/>
        <w:ind w:firstLine="708"/>
        <w:jc w:val="both"/>
        <w:rPr>
          <w:rFonts w:ascii="Times New Roman" w:eastAsia="Times New Roman" w:hAnsi="Times New Roman"/>
          <w:b/>
          <w:sz w:val="24"/>
          <w:szCs w:val="24"/>
        </w:rPr>
      </w:pPr>
      <w:r w:rsidRPr="005D3109">
        <w:rPr>
          <w:rFonts w:ascii="Times New Roman" w:eastAsia="Times New Roman" w:hAnsi="Times New Roman"/>
          <w:b/>
          <w:sz w:val="24"/>
          <w:szCs w:val="24"/>
        </w:rPr>
        <w:t xml:space="preserve">16) Etik Risk: </w:t>
      </w:r>
      <w:r w:rsidRPr="005D3109">
        <w:rPr>
          <w:rFonts w:ascii="Times New Roman" w:eastAsia="Times New Roman" w:hAnsi="Times New Roman"/>
          <w:bCs/>
          <w:sz w:val="24"/>
          <w:szCs w:val="24"/>
        </w:rPr>
        <w:t>Dolandırıcılık</w:t>
      </w:r>
      <w:r w:rsidRPr="005D3109">
        <w:rPr>
          <w:rFonts w:ascii="Times New Roman" w:eastAsia="Times New Roman" w:hAnsi="Times New Roman"/>
          <w:b/>
          <w:sz w:val="24"/>
          <w:szCs w:val="24"/>
        </w:rPr>
        <w:t xml:space="preserve">, </w:t>
      </w:r>
      <w:r w:rsidRPr="005D3109">
        <w:rPr>
          <w:rFonts w:ascii="Times New Roman" w:eastAsia="Times New Roman" w:hAnsi="Times New Roman"/>
          <w:bCs/>
          <w:sz w:val="24"/>
          <w:szCs w:val="24"/>
        </w:rPr>
        <w:t>suistimal, zimmete para geçirme, hırsızlık gibi nedenler ile Fon’u zarara uğratabilecek kasıtlı eylemler ya da Korucu’nun itibarını olumsuz etkileyecek suçların (örneğin, kara para aklanması) işlenmesi riskidir.</w:t>
      </w:r>
      <w:r w:rsidRPr="005D3109">
        <w:rPr>
          <w:rFonts w:ascii="Times New Roman" w:eastAsia="Times New Roman" w:hAnsi="Times New Roman"/>
          <w:b/>
          <w:sz w:val="24"/>
          <w:szCs w:val="24"/>
        </w:rPr>
        <w:t xml:space="preserve"> </w:t>
      </w:r>
    </w:p>
    <w:p w14:paraId="422C4F66" w14:textId="77777777" w:rsidR="005D3109" w:rsidRPr="005D3109" w:rsidRDefault="005D3109" w:rsidP="005D3109">
      <w:pPr>
        <w:spacing w:after="0" w:line="240" w:lineRule="auto"/>
        <w:ind w:firstLine="708"/>
        <w:jc w:val="both"/>
        <w:rPr>
          <w:rFonts w:ascii="Times New Roman" w:eastAsia="Times New Roman" w:hAnsi="Times New Roman"/>
          <w:b/>
          <w:sz w:val="24"/>
          <w:szCs w:val="24"/>
        </w:rPr>
      </w:pPr>
      <w:r w:rsidRPr="005D3109">
        <w:rPr>
          <w:rFonts w:ascii="Times New Roman" w:eastAsia="Times New Roman" w:hAnsi="Times New Roman"/>
          <w:b/>
          <w:sz w:val="24"/>
          <w:szCs w:val="24"/>
        </w:rPr>
        <w:t xml:space="preserve">17) Veri Güvenilirliği Riski: </w:t>
      </w:r>
      <w:r w:rsidRPr="005D3109">
        <w:rPr>
          <w:rFonts w:ascii="Times New Roman" w:eastAsia="Times New Roman" w:hAnsi="Times New Roman"/>
          <w:bCs/>
          <w:sz w:val="24"/>
          <w:szCs w:val="24"/>
        </w:rPr>
        <w:t>Finansal veya finansal olmayan işlemlerin kayıtlara alınması veya raporlanmasında yanlışlık ve eksiklikler bulunması, zamanlamasında gecikmeler oluşmasından kaynaklanan risktir.</w:t>
      </w:r>
      <w:r w:rsidRPr="005D3109">
        <w:rPr>
          <w:rFonts w:ascii="Times New Roman" w:eastAsia="Times New Roman" w:hAnsi="Times New Roman"/>
          <w:b/>
          <w:sz w:val="24"/>
          <w:szCs w:val="24"/>
        </w:rPr>
        <w:t xml:space="preserve"> </w:t>
      </w:r>
    </w:p>
    <w:p w14:paraId="108EDA4F" w14:textId="5338B95F" w:rsidR="00E07EFA" w:rsidRPr="005D3109" w:rsidRDefault="005D3109" w:rsidP="005D3109">
      <w:pPr>
        <w:spacing w:after="0" w:line="240" w:lineRule="auto"/>
        <w:ind w:firstLine="708"/>
        <w:jc w:val="both"/>
        <w:rPr>
          <w:rFonts w:ascii="Times New Roman" w:eastAsia="Times New Roman" w:hAnsi="Times New Roman"/>
          <w:b/>
          <w:sz w:val="24"/>
          <w:szCs w:val="24"/>
        </w:rPr>
      </w:pPr>
      <w:r w:rsidRPr="005D3109">
        <w:rPr>
          <w:rFonts w:ascii="Times New Roman" w:eastAsia="Times New Roman" w:hAnsi="Times New Roman"/>
          <w:b/>
          <w:sz w:val="24"/>
          <w:szCs w:val="24"/>
        </w:rPr>
        <w:t xml:space="preserve">18) Diğer Riskler: </w:t>
      </w:r>
      <w:r w:rsidRPr="005D3109">
        <w:rPr>
          <w:rFonts w:ascii="Times New Roman" w:eastAsia="Times New Roman" w:hAnsi="Times New Roman"/>
          <w:bCs/>
          <w:sz w:val="24"/>
          <w:szCs w:val="24"/>
        </w:rPr>
        <w:t>Fon’a yatırım yapan yatırımcılar piyasalarda yaşanan dalgalanmalar, piyasa koşulları ve mevzuat değişikliklerine uyum sebebiyle para kaybedebilirler. Fon’un portföyündeki varlıkların değeri olumlu ve/veya olumsuz yönde değişim gösterebilir. Yatırım yapılan tüm menkul kıymetler ve türev araç yatırımları sermaye kaybı riski taşır. Kaldıraçlı işlemler risklerin önemli ölçüde artmasına neden olabilir. Fon tarafından öngörülen çeşitli menkul kıymetlere ve diğer araçlara yatırım yapılması önemli ekonomik riskler içerir. Fon yatırım programının söz konusu yatırımı elinde bulundurmanın taşıdığı zarar riskine karşı koruma sağlaması beklense de bu stratejilerin bu riske karşı tam koruma sağlayacağı ya da Fonun hedeflenen kazanca ulaşılacağı konusunda hiçbir güvence söz konusu değildir.</w:t>
      </w:r>
    </w:p>
    <w:sectPr w:rsidR="00E07EFA" w:rsidRPr="005D3109" w:rsidSect="008A60CB">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82C63" w14:textId="77777777" w:rsidR="002F2CD5" w:rsidRDefault="002F2CD5" w:rsidP="00A05B08">
      <w:pPr>
        <w:spacing w:after="0" w:line="240" w:lineRule="auto"/>
      </w:pPr>
      <w:r>
        <w:separator/>
      </w:r>
    </w:p>
  </w:endnote>
  <w:endnote w:type="continuationSeparator" w:id="0">
    <w:p w14:paraId="3B7A4CFA" w14:textId="77777777" w:rsidR="002F2CD5" w:rsidRDefault="002F2CD5" w:rsidP="00A0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70C5D" w14:textId="77777777" w:rsidR="002F2CD5" w:rsidRDefault="002F2CD5" w:rsidP="00A05B08">
      <w:pPr>
        <w:spacing w:after="0" w:line="240" w:lineRule="auto"/>
      </w:pPr>
      <w:r>
        <w:separator/>
      </w:r>
    </w:p>
  </w:footnote>
  <w:footnote w:type="continuationSeparator" w:id="0">
    <w:p w14:paraId="6D3C59D2" w14:textId="77777777" w:rsidR="002F2CD5" w:rsidRDefault="002F2CD5" w:rsidP="00A0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907FB" w14:textId="2DA471B8" w:rsidR="00BA5438" w:rsidRPr="00BA5438" w:rsidRDefault="00BA5438" w:rsidP="00BA5438">
    <w:pPr>
      <w:spacing w:after="0" w:line="240" w:lineRule="auto"/>
      <w:rPr>
        <w:rFonts w:ascii="Times New Roman" w:hAnsi="Times New Roman" w:cs="Times New Roman"/>
        <w:b/>
        <w:color w:val="1F3864" w:themeColor="accent5" w:themeShade="80"/>
        <w:sz w:val="24"/>
        <w:szCs w:val="24"/>
      </w:rPr>
    </w:pPr>
    <w:r w:rsidRPr="00BA5438">
      <w:rPr>
        <w:rFonts w:ascii="Times New Roman" w:hAnsi="Times New Roman" w:cs="Times New Roman"/>
        <w:b/>
        <w:color w:val="1F3864" w:themeColor="accent5" w:themeShade="80"/>
        <w:sz w:val="24"/>
        <w:szCs w:val="24"/>
      </w:rPr>
      <w:t xml:space="preserve">HEDEF PORTFÖY </w:t>
    </w:r>
    <w:r w:rsidR="00600C82">
      <w:rPr>
        <w:rFonts w:ascii="Times New Roman" w:hAnsi="Times New Roman" w:cs="Times New Roman"/>
        <w:b/>
        <w:color w:val="1F3864" w:themeColor="accent5" w:themeShade="80"/>
        <w:sz w:val="24"/>
        <w:szCs w:val="24"/>
      </w:rPr>
      <w:t>MODEL</w:t>
    </w:r>
    <w:r w:rsidRPr="00BA5438">
      <w:rPr>
        <w:rFonts w:ascii="Times New Roman" w:hAnsi="Times New Roman" w:cs="Times New Roman"/>
        <w:b/>
        <w:color w:val="1F3864" w:themeColor="accent5" w:themeShade="80"/>
        <w:sz w:val="24"/>
        <w:szCs w:val="24"/>
      </w:rPr>
      <w:t xml:space="preserve"> HİSSE SENEDİ SERBEST (TL) FON (HİSSE SENEDİ YOĞUN FON)</w:t>
    </w:r>
  </w:p>
  <w:p w14:paraId="4929797E" w14:textId="11CD50D5" w:rsidR="00A05B08" w:rsidRPr="0041052D" w:rsidRDefault="009C7259">
    <w:pPr>
      <w:pStyle w:val="stBilgi"/>
      <w:rPr>
        <w:rFonts w:ascii="Times New Roman" w:hAnsi="Times New Roman" w:cs="Times New Roman"/>
        <w:b/>
        <w:color w:val="1F3864" w:themeColor="accent5" w:themeShade="80"/>
        <w:sz w:val="24"/>
        <w:szCs w:val="24"/>
      </w:rPr>
    </w:pPr>
    <w:r>
      <w:rPr>
        <w:rFonts w:ascii="Times New Roman" w:hAnsi="Times New Roman" w:cs="Times New Roman"/>
        <w:b/>
        <w:color w:val="1F3864" w:themeColor="accent5" w:themeShade="80"/>
        <w:sz w:val="24"/>
        <w:szCs w:val="24"/>
      </w:rPr>
      <w:t>PERFORMANS SUNUM</w:t>
    </w:r>
    <w:r w:rsidR="001B1348" w:rsidRPr="0041052D">
      <w:rPr>
        <w:rFonts w:ascii="Times New Roman" w:hAnsi="Times New Roman" w:cs="Times New Roman"/>
        <w:b/>
        <w:color w:val="1F3864" w:themeColor="accent5" w:themeShade="80"/>
        <w:sz w:val="24"/>
        <w:szCs w:val="24"/>
      </w:rPr>
      <w:t xml:space="preserve"> RAPORU</w:t>
    </w:r>
  </w:p>
  <w:p w14:paraId="5726AB97" w14:textId="77777777" w:rsidR="00A05B08" w:rsidRDefault="008A60CB">
    <w:pPr>
      <w:pStyle w:val="stBilgi"/>
    </w:pP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88A41" w14:textId="77777777" w:rsidR="00767026" w:rsidRDefault="00767026" w:rsidP="00767026">
    <w:pPr>
      <w:pStyle w:val="stBilgi"/>
      <w:tabs>
        <w:tab w:val="clear" w:pos="4536"/>
        <w:tab w:val="clear" w:pos="9072"/>
        <w:tab w:val="left" w:pos="8560"/>
      </w:tabs>
    </w:pPr>
    <w:r>
      <w:rPr>
        <w:noProof/>
        <w:lang w:eastAsia="tr-TR"/>
      </w:rPr>
      <mc:AlternateContent>
        <mc:Choice Requires="wps">
          <w:drawing>
            <wp:anchor distT="45720" distB="45720" distL="114300" distR="114300" simplePos="0" relativeHeight="251659264" behindDoc="0" locked="0" layoutInCell="1" allowOverlap="1" wp14:anchorId="7DBCB8D9" wp14:editId="14D0132F">
              <wp:simplePos x="0" y="0"/>
              <wp:positionH relativeFrom="column">
                <wp:posOffset>3542665</wp:posOffset>
              </wp:positionH>
              <wp:positionV relativeFrom="paragraph">
                <wp:posOffset>-214630</wp:posOffset>
              </wp:positionV>
              <wp:extent cx="2235200" cy="1085850"/>
              <wp:effectExtent l="0" t="0" r="0" b="0"/>
              <wp:wrapSquare wrapText="bothSides"/>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01C02" w14:textId="77777777" w:rsidR="00767026" w:rsidRPr="00447D36" w:rsidRDefault="00767026" w:rsidP="00767026">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HSY Danışmanlık ve Bağımsız Denetim A.Ş.</w:t>
                          </w:r>
                        </w:p>
                        <w:p w14:paraId="265F61B4" w14:textId="77777777" w:rsidR="00767026" w:rsidRPr="00447D36" w:rsidRDefault="00767026" w:rsidP="00767026">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Cumhuriyet Mah. Yeniyol Sok. Bomonti Business Center</w:t>
                          </w:r>
                        </w:p>
                        <w:p w14:paraId="3433FC4D" w14:textId="77777777" w:rsidR="00767026" w:rsidRPr="00447D36" w:rsidRDefault="00767026" w:rsidP="00767026">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No:8 K:4 D:22 Bomonti- Şişli – İstanbul</w:t>
                          </w:r>
                        </w:p>
                        <w:p w14:paraId="4962DB82" w14:textId="77777777" w:rsidR="00767026" w:rsidRPr="00447D36" w:rsidRDefault="00767026" w:rsidP="00767026">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T: +90 212 217 02 30</w:t>
                          </w:r>
                        </w:p>
                        <w:p w14:paraId="708BD347" w14:textId="77777777" w:rsidR="00767026" w:rsidRPr="0064371B" w:rsidRDefault="00767026" w:rsidP="00767026">
                          <w:pPr>
                            <w:spacing w:after="0" w:line="180" w:lineRule="exact"/>
                            <w:ind w:left="-108"/>
                            <w:jc w:val="right"/>
                            <w:rPr>
                              <w:rFonts w:ascii="Arial" w:hAnsi="Arial" w:cs="Arial"/>
                              <w:color w:val="5B9BD5" w:themeColor="accent1"/>
                              <w:sz w:val="16"/>
                              <w:szCs w:val="15"/>
                            </w:rPr>
                          </w:pPr>
                          <w:r w:rsidRPr="00447D36">
                            <w:rPr>
                              <w:rFonts w:ascii="Arial" w:hAnsi="Arial" w:cs="Arial"/>
                              <w:color w:val="5B9BD5" w:themeColor="accent1"/>
                              <w:sz w:val="16"/>
                              <w:szCs w:val="16"/>
                            </w:rPr>
                            <w:t>F: +90 212 217 02 29</w:t>
                          </w:r>
                          <w:r w:rsidRPr="0064371B">
                            <w:rPr>
                              <w:rFonts w:ascii="Arial" w:hAnsi="Arial" w:cs="Arial"/>
                              <w:color w:val="5B9BD5" w:themeColor="accent1"/>
                              <w:sz w:val="16"/>
                              <w:szCs w:val="15"/>
                            </w:rPr>
                            <w:t xml:space="preserve">  </w:t>
                          </w:r>
                        </w:p>
                        <w:p w14:paraId="3F354ED1" w14:textId="77777777" w:rsidR="00767026" w:rsidRDefault="00767026" w:rsidP="00767026">
                          <w:pPr>
                            <w:jc w:val="right"/>
                          </w:pPr>
                          <w:r w:rsidRPr="0064371B">
                            <w:rPr>
                              <w:rFonts w:ascii="Arial" w:hAnsi="Arial" w:cs="Arial"/>
                              <w:color w:val="5B9BD5" w:themeColor="accent1"/>
                              <w:sz w:val="16"/>
                              <w:szCs w:val="15"/>
                            </w:rPr>
                            <w:t>www.crowe.com.tr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BCB8D9" id="_x0000_t202" coordsize="21600,21600" o:spt="202" path="m,l,21600r21600,l21600,xe">
              <v:stroke joinstyle="miter"/>
              <v:path gradientshapeok="t" o:connecttype="rect"/>
            </v:shapetype>
            <v:shape id="Metin Kutusu 2" o:spid="_x0000_s1026" type="#_x0000_t202" style="position:absolute;margin-left:278.95pt;margin-top:-16.9pt;width:176pt;height:8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ioQ4AEAAKIDAAAOAAAAZHJzL2Uyb0RvYy54bWysU9uO0zAQfUfiHyy/01xooURNV8uuFiEt&#10;C9LCBziO3VgkHjN2m5SvZ+x0uwXeEC+WPTM5c86ZyeZqGnp2UOgN2JoXi5wzZSW0xu5q/u3r3as1&#10;Zz4I24oerKr5UXl+tX35YjO6SpXQQd8qZARifTW6mnchuCrLvOzUIPwCnLKU1ICDCPTEXdaiGAl9&#10;6LMyz99kI2DrEKTynqK3c5JvE77WSobPWnsVWF9z4hbSiels4pltN6LaoXCdkSca4h9YDMJYanqG&#10;uhVBsD2av6AGIxE86LCQMGSgtZEqaSA1Rf6HmsdOOJW0kDnenW3y/w9WPhwe3RdkYXoPEw0wifDu&#10;HuR3zyzcdMLu1DUijJ0SLTUuomXZ6Hx1+jRa7SsfQZrxE7Q0ZLEPkIAmjUN0hXQyQqcBHM+mqykw&#10;ScGyfL2iSXImKVfk69V6lcaSierpc4c+fFAwsHipOdJUE7w43PsQ6YjqqSR2s3Bn+j5Ntre/Bagw&#10;RhL9yHjmHqZmouooo4H2SEIQ5kWhxaZLB/iTs5GWpOb+x16g4qz/aMmMd8VyGbcqPZartyU98DLT&#10;XGaElQRV88DZfL0J8ybuHZpdR51m+y1ck4HaJGnPrE68aRGS4tPSxk27fKeq519r+wsAAP//AwBQ&#10;SwMEFAAGAAgAAAAhAJGnrunfAAAACwEAAA8AAABkcnMvZG93bnJldi54bWxMj01PwzAMhu9I/IfI&#10;SNy2hJVutDSdEIjr0MaHxC1rvLaicaomW8u/xzuxo+1Hr5+3WE+uEyccQutJw91cgUCqvG2p1vDx&#10;/jp7ABGiIWs6T6jhFwOsy+urwuTWj7TF0y7WgkMo5EZDE2OfSxmqBp0Jc98j8e3gB2cij0Mt7WBG&#10;DnedXCi1lM60xB8a0+Nzg9XP7ug0fG4O31/36q1+cWk/+klJcpnU+vZmenoEEXGK/zCc9VkdSnba&#10;+yPZIDoNabrKGNUwSxLuwESmMt7sGU1WC5BlIS87lH8AAAD//wMAUEsBAi0AFAAGAAgAAAAhALaD&#10;OJL+AAAA4QEAABMAAAAAAAAAAAAAAAAAAAAAAFtDb250ZW50X1R5cGVzXS54bWxQSwECLQAUAAYA&#10;CAAAACEAOP0h/9YAAACUAQAACwAAAAAAAAAAAAAAAAAvAQAAX3JlbHMvLnJlbHNQSwECLQAUAAYA&#10;CAAAACEAePIqEOABAACiAwAADgAAAAAAAAAAAAAAAAAuAgAAZHJzL2Uyb0RvYy54bWxQSwECLQAU&#10;AAYACAAAACEAkaeu6d8AAAALAQAADwAAAAAAAAAAAAAAAAA6BAAAZHJzL2Rvd25yZXYueG1sUEsF&#10;BgAAAAAEAAQA8wAAAEYFAAAAAA==&#10;" filled="f" stroked="f">
              <v:textbox>
                <w:txbxContent>
                  <w:p w14:paraId="71A01C02" w14:textId="77777777" w:rsidR="00767026" w:rsidRPr="00447D36" w:rsidRDefault="00767026" w:rsidP="00767026">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HSY Danışmanlık ve Bağımsız Denetim A.Ş.</w:t>
                    </w:r>
                  </w:p>
                  <w:p w14:paraId="265F61B4" w14:textId="77777777" w:rsidR="00767026" w:rsidRPr="00447D36" w:rsidRDefault="00767026" w:rsidP="00767026">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Cumhuriyet Mah. Yeniyol Sok. Bomonti Business Center</w:t>
                    </w:r>
                  </w:p>
                  <w:p w14:paraId="3433FC4D" w14:textId="77777777" w:rsidR="00767026" w:rsidRPr="00447D36" w:rsidRDefault="00767026" w:rsidP="00767026">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No:8 K:4 D:22 Bomonti- Şişli – İstanbul</w:t>
                    </w:r>
                  </w:p>
                  <w:p w14:paraId="4962DB82" w14:textId="77777777" w:rsidR="00767026" w:rsidRPr="00447D36" w:rsidRDefault="00767026" w:rsidP="00767026">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T: +90 212 217 02 30</w:t>
                    </w:r>
                  </w:p>
                  <w:p w14:paraId="708BD347" w14:textId="77777777" w:rsidR="00767026" w:rsidRPr="0064371B" w:rsidRDefault="00767026" w:rsidP="00767026">
                    <w:pPr>
                      <w:spacing w:after="0" w:line="180" w:lineRule="exact"/>
                      <w:ind w:left="-108"/>
                      <w:jc w:val="right"/>
                      <w:rPr>
                        <w:rFonts w:ascii="Arial" w:hAnsi="Arial" w:cs="Arial"/>
                        <w:color w:val="5B9BD5" w:themeColor="accent1"/>
                        <w:sz w:val="16"/>
                        <w:szCs w:val="15"/>
                      </w:rPr>
                    </w:pPr>
                    <w:r w:rsidRPr="00447D36">
                      <w:rPr>
                        <w:rFonts w:ascii="Arial" w:hAnsi="Arial" w:cs="Arial"/>
                        <w:color w:val="5B9BD5" w:themeColor="accent1"/>
                        <w:sz w:val="16"/>
                        <w:szCs w:val="16"/>
                      </w:rPr>
                      <w:t>F: +90 212 217 02 29</w:t>
                    </w:r>
                    <w:r w:rsidRPr="0064371B">
                      <w:rPr>
                        <w:rFonts w:ascii="Arial" w:hAnsi="Arial" w:cs="Arial"/>
                        <w:color w:val="5B9BD5" w:themeColor="accent1"/>
                        <w:sz w:val="16"/>
                        <w:szCs w:val="15"/>
                      </w:rPr>
                      <w:t xml:space="preserve">  </w:t>
                    </w:r>
                  </w:p>
                  <w:p w14:paraId="3F354ED1" w14:textId="77777777" w:rsidR="00767026" w:rsidRDefault="00767026" w:rsidP="00767026">
                    <w:pPr>
                      <w:jc w:val="right"/>
                    </w:pPr>
                    <w:r w:rsidRPr="0064371B">
                      <w:rPr>
                        <w:rFonts w:ascii="Arial" w:hAnsi="Arial" w:cs="Arial"/>
                        <w:color w:val="5B9BD5" w:themeColor="accent1"/>
                        <w:sz w:val="16"/>
                        <w:szCs w:val="15"/>
                      </w:rPr>
                      <w:t>www.crowe.com.tr</w:t>
                    </w:r>
                  </w:p>
                </w:txbxContent>
              </v:textbox>
              <w10:wrap type="square"/>
            </v:shape>
          </w:pict>
        </mc:Fallback>
      </mc:AlternateContent>
    </w:r>
    <w:r w:rsidRPr="00725DAD">
      <w:rPr>
        <w:noProof/>
        <w:lang w:eastAsia="tr-TR"/>
      </w:rPr>
      <w:drawing>
        <wp:inline distT="0" distB="0" distL="0" distR="0" wp14:anchorId="13457DFB" wp14:editId="6BFEB8FC">
          <wp:extent cx="1282700" cy="36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361950"/>
                  </a:xfrm>
                  <a:prstGeom prst="rect">
                    <a:avLst/>
                  </a:prstGeom>
                  <a:noFill/>
                  <a:ln>
                    <a:noFill/>
                  </a:ln>
                </pic:spPr>
              </pic:pic>
            </a:graphicData>
          </a:graphic>
        </wp:inline>
      </w:drawing>
    </w:r>
    <w:r>
      <w:tab/>
    </w:r>
  </w:p>
  <w:p w14:paraId="5E41BFBD" w14:textId="77777777" w:rsidR="00767026" w:rsidRDefault="0076702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78CC3" w14:textId="77777777" w:rsidR="00767026" w:rsidRPr="00BA5438" w:rsidRDefault="00767026" w:rsidP="00BA5438">
    <w:pPr>
      <w:spacing w:after="0" w:line="240" w:lineRule="auto"/>
      <w:rPr>
        <w:rFonts w:ascii="Times New Roman" w:hAnsi="Times New Roman" w:cs="Times New Roman"/>
        <w:b/>
        <w:color w:val="1F3864" w:themeColor="accent5" w:themeShade="80"/>
        <w:sz w:val="24"/>
        <w:szCs w:val="24"/>
      </w:rPr>
    </w:pPr>
    <w:r w:rsidRPr="00BA5438">
      <w:rPr>
        <w:rFonts w:ascii="Times New Roman" w:hAnsi="Times New Roman" w:cs="Times New Roman"/>
        <w:b/>
        <w:color w:val="1F3864" w:themeColor="accent5" w:themeShade="80"/>
        <w:sz w:val="24"/>
        <w:szCs w:val="24"/>
      </w:rPr>
      <w:t xml:space="preserve">HEDEF PORTFÖY </w:t>
    </w:r>
    <w:r>
      <w:rPr>
        <w:rFonts w:ascii="Times New Roman" w:hAnsi="Times New Roman" w:cs="Times New Roman"/>
        <w:b/>
        <w:color w:val="1F3864" w:themeColor="accent5" w:themeShade="80"/>
        <w:sz w:val="24"/>
        <w:szCs w:val="24"/>
      </w:rPr>
      <w:t>MODEL</w:t>
    </w:r>
    <w:r w:rsidRPr="00BA5438">
      <w:rPr>
        <w:rFonts w:ascii="Times New Roman" w:hAnsi="Times New Roman" w:cs="Times New Roman"/>
        <w:b/>
        <w:color w:val="1F3864" w:themeColor="accent5" w:themeShade="80"/>
        <w:sz w:val="24"/>
        <w:szCs w:val="24"/>
      </w:rPr>
      <w:t xml:space="preserve"> HİSSE SENEDİ SERBEST (TL) FON (HİSSE SENEDİ YOĞUN FON)</w:t>
    </w:r>
  </w:p>
  <w:p w14:paraId="1F6FE072" w14:textId="77777777" w:rsidR="00767026" w:rsidRPr="0041052D" w:rsidRDefault="00767026">
    <w:pPr>
      <w:pStyle w:val="stBilgi"/>
      <w:rPr>
        <w:rFonts w:ascii="Times New Roman" w:hAnsi="Times New Roman" w:cs="Times New Roman"/>
        <w:b/>
        <w:color w:val="1F3864" w:themeColor="accent5" w:themeShade="80"/>
        <w:sz w:val="24"/>
        <w:szCs w:val="24"/>
      </w:rPr>
    </w:pPr>
    <w:r>
      <w:rPr>
        <w:rFonts w:ascii="Times New Roman" w:hAnsi="Times New Roman" w:cs="Times New Roman"/>
        <w:b/>
        <w:color w:val="1F3864" w:themeColor="accent5" w:themeShade="80"/>
        <w:sz w:val="24"/>
        <w:szCs w:val="24"/>
      </w:rPr>
      <w:t>PERFORMANS SUNUM</w:t>
    </w:r>
    <w:r w:rsidRPr="0041052D">
      <w:rPr>
        <w:rFonts w:ascii="Times New Roman" w:hAnsi="Times New Roman" w:cs="Times New Roman"/>
        <w:b/>
        <w:color w:val="1F3864" w:themeColor="accent5" w:themeShade="80"/>
        <w:sz w:val="24"/>
        <w:szCs w:val="24"/>
      </w:rPr>
      <w:t xml:space="preserve"> RAPORU</w:t>
    </w:r>
  </w:p>
  <w:p w14:paraId="22023375" w14:textId="77777777" w:rsidR="00767026" w:rsidRDefault="00767026">
    <w:pPr>
      <w:pStyle w:val="stBilgi"/>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19A0B" w14:textId="77777777" w:rsidR="00767026" w:rsidRDefault="0076702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90232"/>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484679"/>
    <w:multiLevelType w:val="hybridMultilevel"/>
    <w:tmpl w:val="B3346600"/>
    <w:lvl w:ilvl="0" w:tplc="67C21D8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A0DAF"/>
    <w:multiLevelType w:val="hybridMultilevel"/>
    <w:tmpl w:val="24121FCC"/>
    <w:lvl w:ilvl="0" w:tplc="041F0011">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7A533F"/>
    <w:multiLevelType w:val="hybridMultilevel"/>
    <w:tmpl w:val="78DC04CA"/>
    <w:lvl w:ilvl="0" w:tplc="1CE6056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84E7D39"/>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5EC115B"/>
    <w:multiLevelType w:val="hybridMultilevel"/>
    <w:tmpl w:val="FDE4AFE2"/>
    <w:lvl w:ilvl="0" w:tplc="274031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5EE28F4"/>
    <w:multiLevelType w:val="hybridMultilevel"/>
    <w:tmpl w:val="78DC04CA"/>
    <w:lvl w:ilvl="0" w:tplc="1CE60560">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83574176">
    <w:abstractNumId w:val="4"/>
  </w:num>
  <w:num w:numId="2" w16cid:durableId="188177351">
    <w:abstractNumId w:val="0"/>
  </w:num>
  <w:num w:numId="3" w16cid:durableId="892273451">
    <w:abstractNumId w:val="6"/>
  </w:num>
  <w:num w:numId="4" w16cid:durableId="731077218">
    <w:abstractNumId w:val="5"/>
  </w:num>
  <w:num w:numId="5" w16cid:durableId="1124739877">
    <w:abstractNumId w:val="3"/>
  </w:num>
  <w:num w:numId="6" w16cid:durableId="18877949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9694512">
    <w:abstractNumId w:val="1"/>
  </w:num>
  <w:num w:numId="8" w16cid:durableId="1932926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D6"/>
    <w:rsid w:val="00016B29"/>
    <w:rsid w:val="00030329"/>
    <w:rsid w:val="00032E31"/>
    <w:rsid w:val="000333B4"/>
    <w:rsid w:val="000433B4"/>
    <w:rsid w:val="00044114"/>
    <w:rsid w:val="00050C00"/>
    <w:rsid w:val="000669A7"/>
    <w:rsid w:val="000950F3"/>
    <w:rsid w:val="000A1D61"/>
    <w:rsid w:val="000B2046"/>
    <w:rsid w:val="000B5411"/>
    <w:rsid w:val="000D3192"/>
    <w:rsid w:val="000D3551"/>
    <w:rsid w:val="000E1417"/>
    <w:rsid w:val="000F7A0F"/>
    <w:rsid w:val="000F7B1B"/>
    <w:rsid w:val="0010324E"/>
    <w:rsid w:val="00103F61"/>
    <w:rsid w:val="00106889"/>
    <w:rsid w:val="00122D09"/>
    <w:rsid w:val="00137894"/>
    <w:rsid w:val="0014766B"/>
    <w:rsid w:val="0015434C"/>
    <w:rsid w:val="00154745"/>
    <w:rsid w:val="001B1348"/>
    <w:rsid w:val="001B1C6E"/>
    <w:rsid w:val="001C29A7"/>
    <w:rsid w:val="001C4968"/>
    <w:rsid w:val="001D2A2A"/>
    <w:rsid w:val="001E0E01"/>
    <w:rsid w:val="001F05AE"/>
    <w:rsid w:val="0021216E"/>
    <w:rsid w:val="00223B91"/>
    <w:rsid w:val="00227C69"/>
    <w:rsid w:val="0023421B"/>
    <w:rsid w:val="00236423"/>
    <w:rsid w:val="00237C1F"/>
    <w:rsid w:val="00242370"/>
    <w:rsid w:val="00247232"/>
    <w:rsid w:val="002557A6"/>
    <w:rsid w:val="002735C8"/>
    <w:rsid w:val="00275FAF"/>
    <w:rsid w:val="00295675"/>
    <w:rsid w:val="002B133F"/>
    <w:rsid w:val="002D47A7"/>
    <w:rsid w:val="002E2517"/>
    <w:rsid w:val="002F2CD5"/>
    <w:rsid w:val="00311C9C"/>
    <w:rsid w:val="00313017"/>
    <w:rsid w:val="0034359B"/>
    <w:rsid w:val="00345E9E"/>
    <w:rsid w:val="00351EF4"/>
    <w:rsid w:val="00353A6C"/>
    <w:rsid w:val="00373F9B"/>
    <w:rsid w:val="00392B73"/>
    <w:rsid w:val="00395760"/>
    <w:rsid w:val="0039748C"/>
    <w:rsid w:val="003B245E"/>
    <w:rsid w:val="003D4A1E"/>
    <w:rsid w:val="003D66F7"/>
    <w:rsid w:val="003E18AB"/>
    <w:rsid w:val="003E3013"/>
    <w:rsid w:val="003F11CF"/>
    <w:rsid w:val="0041052D"/>
    <w:rsid w:val="00416252"/>
    <w:rsid w:val="0046476F"/>
    <w:rsid w:val="004765AF"/>
    <w:rsid w:val="00495B04"/>
    <w:rsid w:val="004A5550"/>
    <w:rsid w:val="004C5257"/>
    <w:rsid w:val="004E72E0"/>
    <w:rsid w:val="00570FE9"/>
    <w:rsid w:val="00596C79"/>
    <w:rsid w:val="005B4267"/>
    <w:rsid w:val="005C70A1"/>
    <w:rsid w:val="005D0231"/>
    <w:rsid w:val="005D3109"/>
    <w:rsid w:val="005D41D1"/>
    <w:rsid w:val="005F5413"/>
    <w:rsid w:val="00600C82"/>
    <w:rsid w:val="00605D94"/>
    <w:rsid w:val="0062182C"/>
    <w:rsid w:val="00621CF3"/>
    <w:rsid w:val="00623AF0"/>
    <w:rsid w:val="006247E4"/>
    <w:rsid w:val="006858ED"/>
    <w:rsid w:val="0068663D"/>
    <w:rsid w:val="00691459"/>
    <w:rsid w:val="006A0773"/>
    <w:rsid w:val="006B21ED"/>
    <w:rsid w:val="006B6E11"/>
    <w:rsid w:val="006C07D6"/>
    <w:rsid w:val="006C7294"/>
    <w:rsid w:val="006D1809"/>
    <w:rsid w:val="006F1320"/>
    <w:rsid w:val="006F16CC"/>
    <w:rsid w:val="00732B90"/>
    <w:rsid w:val="007403AA"/>
    <w:rsid w:val="00747044"/>
    <w:rsid w:val="00747866"/>
    <w:rsid w:val="00767026"/>
    <w:rsid w:val="00771AD5"/>
    <w:rsid w:val="007A0262"/>
    <w:rsid w:val="007B4462"/>
    <w:rsid w:val="007B4E2D"/>
    <w:rsid w:val="007C6F90"/>
    <w:rsid w:val="007D2136"/>
    <w:rsid w:val="007D75CD"/>
    <w:rsid w:val="007E62FE"/>
    <w:rsid w:val="00804B46"/>
    <w:rsid w:val="00807979"/>
    <w:rsid w:val="008260F4"/>
    <w:rsid w:val="00897BBB"/>
    <w:rsid w:val="008A2B04"/>
    <w:rsid w:val="008A4183"/>
    <w:rsid w:val="008A4474"/>
    <w:rsid w:val="008A60CB"/>
    <w:rsid w:val="008B3432"/>
    <w:rsid w:val="008B3B38"/>
    <w:rsid w:val="008B40EB"/>
    <w:rsid w:val="008B4150"/>
    <w:rsid w:val="008C0B09"/>
    <w:rsid w:val="008C136E"/>
    <w:rsid w:val="0090002B"/>
    <w:rsid w:val="00901163"/>
    <w:rsid w:val="00912C45"/>
    <w:rsid w:val="00942BAD"/>
    <w:rsid w:val="00973E09"/>
    <w:rsid w:val="0097626F"/>
    <w:rsid w:val="00976460"/>
    <w:rsid w:val="00982937"/>
    <w:rsid w:val="00984E11"/>
    <w:rsid w:val="00991F3C"/>
    <w:rsid w:val="00995889"/>
    <w:rsid w:val="00995984"/>
    <w:rsid w:val="00996038"/>
    <w:rsid w:val="009A6126"/>
    <w:rsid w:val="009B62B2"/>
    <w:rsid w:val="009C0195"/>
    <w:rsid w:val="009C7259"/>
    <w:rsid w:val="009F2ACA"/>
    <w:rsid w:val="009F305D"/>
    <w:rsid w:val="009F576B"/>
    <w:rsid w:val="009F76D9"/>
    <w:rsid w:val="00A05B08"/>
    <w:rsid w:val="00A159F8"/>
    <w:rsid w:val="00A263C6"/>
    <w:rsid w:val="00A2654E"/>
    <w:rsid w:val="00A36674"/>
    <w:rsid w:val="00A50942"/>
    <w:rsid w:val="00A667D5"/>
    <w:rsid w:val="00A702D8"/>
    <w:rsid w:val="00A779B1"/>
    <w:rsid w:val="00A831A7"/>
    <w:rsid w:val="00A9701B"/>
    <w:rsid w:val="00AA0027"/>
    <w:rsid w:val="00AA17B4"/>
    <w:rsid w:val="00AD4058"/>
    <w:rsid w:val="00AE49C4"/>
    <w:rsid w:val="00AF3A9D"/>
    <w:rsid w:val="00B0426D"/>
    <w:rsid w:val="00B212E2"/>
    <w:rsid w:val="00B22113"/>
    <w:rsid w:val="00B77F86"/>
    <w:rsid w:val="00B87471"/>
    <w:rsid w:val="00B96715"/>
    <w:rsid w:val="00B975CA"/>
    <w:rsid w:val="00BA2C65"/>
    <w:rsid w:val="00BA5161"/>
    <w:rsid w:val="00BA5438"/>
    <w:rsid w:val="00BC4211"/>
    <w:rsid w:val="00BE2A33"/>
    <w:rsid w:val="00BE37F7"/>
    <w:rsid w:val="00BF2B84"/>
    <w:rsid w:val="00BF54DE"/>
    <w:rsid w:val="00C158F7"/>
    <w:rsid w:val="00C16969"/>
    <w:rsid w:val="00C22873"/>
    <w:rsid w:val="00C6319A"/>
    <w:rsid w:val="00C753B0"/>
    <w:rsid w:val="00CC3D5E"/>
    <w:rsid w:val="00CC7520"/>
    <w:rsid w:val="00CC7B75"/>
    <w:rsid w:val="00CD4C99"/>
    <w:rsid w:val="00CE7939"/>
    <w:rsid w:val="00CF029B"/>
    <w:rsid w:val="00D20DE7"/>
    <w:rsid w:val="00D36275"/>
    <w:rsid w:val="00D52CC0"/>
    <w:rsid w:val="00D6061D"/>
    <w:rsid w:val="00D7161B"/>
    <w:rsid w:val="00D81B9A"/>
    <w:rsid w:val="00DB12CD"/>
    <w:rsid w:val="00DC2A23"/>
    <w:rsid w:val="00DD7C4D"/>
    <w:rsid w:val="00DF5CC8"/>
    <w:rsid w:val="00E07EFA"/>
    <w:rsid w:val="00E27CCD"/>
    <w:rsid w:val="00E50129"/>
    <w:rsid w:val="00EB152C"/>
    <w:rsid w:val="00EB4E0D"/>
    <w:rsid w:val="00ED76F3"/>
    <w:rsid w:val="00EE1C8B"/>
    <w:rsid w:val="00EE4C86"/>
    <w:rsid w:val="00EF2040"/>
    <w:rsid w:val="00EF700D"/>
    <w:rsid w:val="00F5703C"/>
    <w:rsid w:val="00F648D8"/>
    <w:rsid w:val="00F6578E"/>
    <w:rsid w:val="00F70D62"/>
    <w:rsid w:val="00F94051"/>
    <w:rsid w:val="00FA712B"/>
    <w:rsid w:val="00FC3E22"/>
    <w:rsid w:val="00FC543F"/>
    <w:rsid w:val="00FE0F8F"/>
    <w:rsid w:val="00FF1215"/>
    <w:rsid w:val="00FF2F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1579E"/>
  <w15:docId w15:val="{2E8C7430-1D16-4949-A408-0B77F3DEC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B6E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1CF3"/>
    <w:pPr>
      <w:spacing w:after="200" w:line="276" w:lineRule="auto"/>
      <w:ind w:left="720"/>
      <w:contextualSpacing/>
    </w:pPr>
    <w:rPr>
      <w:rFonts w:eastAsiaTheme="minorEastAsia"/>
      <w:lang w:eastAsia="tr-TR"/>
    </w:rPr>
  </w:style>
  <w:style w:type="table" w:styleId="TabloKlavuzu">
    <w:name w:val="Table Grid"/>
    <w:basedOn w:val="NormalTablo"/>
    <w:uiPriority w:val="39"/>
    <w:rsid w:val="00A05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05B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5B08"/>
  </w:style>
  <w:style w:type="paragraph" w:styleId="AltBilgi">
    <w:name w:val="footer"/>
    <w:basedOn w:val="Normal"/>
    <w:link w:val="AltBilgiChar"/>
    <w:uiPriority w:val="99"/>
    <w:unhideWhenUsed/>
    <w:rsid w:val="00A05B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5B08"/>
  </w:style>
  <w:style w:type="paragraph" w:styleId="BalonMetni">
    <w:name w:val="Balloon Text"/>
    <w:basedOn w:val="Normal"/>
    <w:link w:val="BalonMetniChar"/>
    <w:uiPriority w:val="99"/>
    <w:semiHidden/>
    <w:unhideWhenUsed/>
    <w:rsid w:val="001C49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4968"/>
    <w:rPr>
      <w:rFonts w:ascii="Segoe UI" w:hAnsi="Segoe UI" w:cs="Segoe UI"/>
      <w:sz w:val="18"/>
      <w:szCs w:val="18"/>
    </w:rPr>
  </w:style>
  <w:style w:type="character" w:customStyle="1" w:styleId="Balk1Char">
    <w:name w:val="Başlık 1 Char"/>
    <w:basedOn w:val="VarsaylanParagrafYazTipi"/>
    <w:link w:val="Balk1"/>
    <w:uiPriority w:val="9"/>
    <w:rsid w:val="006B6E11"/>
    <w:rPr>
      <w:rFonts w:asciiTheme="majorHAnsi" w:eastAsiaTheme="majorEastAsia" w:hAnsiTheme="majorHAnsi" w:cstheme="majorBidi"/>
      <w:color w:val="2E74B5" w:themeColor="accent1" w:themeShade="BF"/>
      <w:sz w:val="32"/>
      <w:szCs w:val="32"/>
    </w:rPr>
  </w:style>
  <w:style w:type="paragraph" w:customStyle="1" w:styleId="Default">
    <w:name w:val="Default"/>
    <w:rsid w:val="00767026"/>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VarsaylanParagrafYazTipi"/>
    <w:rsid w:val="00767026"/>
  </w:style>
  <w:style w:type="paragraph" w:customStyle="1" w:styleId="paragraph">
    <w:name w:val="paragraph"/>
    <w:basedOn w:val="Normal"/>
    <w:rsid w:val="0076702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eop">
    <w:name w:val="eop"/>
    <w:basedOn w:val="VarsaylanParagrafYazTipi"/>
    <w:rsid w:val="00767026"/>
  </w:style>
  <w:style w:type="character" w:styleId="AklamaBavurusu">
    <w:name w:val="annotation reference"/>
    <w:basedOn w:val="VarsaylanParagrafYazTipi"/>
    <w:uiPriority w:val="99"/>
    <w:semiHidden/>
    <w:unhideWhenUsed/>
    <w:rsid w:val="00691459"/>
    <w:rPr>
      <w:sz w:val="16"/>
      <w:szCs w:val="16"/>
    </w:rPr>
  </w:style>
  <w:style w:type="paragraph" w:styleId="AklamaMetni">
    <w:name w:val="annotation text"/>
    <w:basedOn w:val="Normal"/>
    <w:link w:val="AklamaMetniChar"/>
    <w:uiPriority w:val="99"/>
    <w:semiHidden/>
    <w:unhideWhenUsed/>
    <w:rsid w:val="0069145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91459"/>
    <w:rPr>
      <w:sz w:val="20"/>
      <w:szCs w:val="20"/>
    </w:rPr>
  </w:style>
  <w:style w:type="paragraph" w:styleId="AklamaKonusu">
    <w:name w:val="annotation subject"/>
    <w:basedOn w:val="AklamaMetni"/>
    <w:next w:val="AklamaMetni"/>
    <w:link w:val="AklamaKonusuChar"/>
    <w:uiPriority w:val="99"/>
    <w:semiHidden/>
    <w:unhideWhenUsed/>
    <w:rsid w:val="00691459"/>
    <w:rPr>
      <w:b/>
      <w:bCs/>
    </w:rPr>
  </w:style>
  <w:style w:type="character" w:customStyle="1" w:styleId="AklamaKonusuChar">
    <w:name w:val="Açıklama Konusu Char"/>
    <w:basedOn w:val="AklamaMetniChar"/>
    <w:link w:val="AklamaKonusu"/>
    <w:uiPriority w:val="99"/>
    <w:semiHidden/>
    <w:rsid w:val="006914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321218">
      <w:bodyDiv w:val="1"/>
      <w:marLeft w:val="0"/>
      <w:marRight w:val="0"/>
      <w:marTop w:val="0"/>
      <w:marBottom w:val="0"/>
      <w:divBdr>
        <w:top w:val="none" w:sz="0" w:space="0" w:color="auto"/>
        <w:left w:val="none" w:sz="0" w:space="0" w:color="auto"/>
        <w:bottom w:val="none" w:sz="0" w:space="0" w:color="auto"/>
        <w:right w:val="none" w:sz="0" w:space="0" w:color="auto"/>
      </w:divBdr>
    </w:div>
    <w:div w:id="184487120">
      <w:bodyDiv w:val="1"/>
      <w:marLeft w:val="0"/>
      <w:marRight w:val="0"/>
      <w:marTop w:val="0"/>
      <w:marBottom w:val="0"/>
      <w:divBdr>
        <w:top w:val="none" w:sz="0" w:space="0" w:color="auto"/>
        <w:left w:val="none" w:sz="0" w:space="0" w:color="auto"/>
        <w:bottom w:val="none" w:sz="0" w:space="0" w:color="auto"/>
        <w:right w:val="none" w:sz="0" w:space="0" w:color="auto"/>
      </w:divBdr>
    </w:div>
    <w:div w:id="249630204">
      <w:bodyDiv w:val="1"/>
      <w:marLeft w:val="0"/>
      <w:marRight w:val="0"/>
      <w:marTop w:val="0"/>
      <w:marBottom w:val="0"/>
      <w:divBdr>
        <w:top w:val="none" w:sz="0" w:space="0" w:color="auto"/>
        <w:left w:val="none" w:sz="0" w:space="0" w:color="auto"/>
        <w:bottom w:val="none" w:sz="0" w:space="0" w:color="auto"/>
        <w:right w:val="none" w:sz="0" w:space="0" w:color="auto"/>
      </w:divBdr>
    </w:div>
    <w:div w:id="252472794">
      <w:bodyDiv w:val="1"/>
      <w:marLeft w:val="0"/>
      <w:marRight w:val="0"/>
      <w:marTop w:val="0"/>
      <w:marBottom w:val="0"/>
      <w:divBdr>
        <w:top w:val="none" w:sz="0" w:space="0" w:color="auto"/>
        <w:left w:val="none" w:sz="0" w:space="0" w:color="auto"/>
        <w:bottom w:val="none" w:sz="0" w:space="0" w:color="auto"/>
        <w:right w:val="none" w:sz="0" w:space="0" w:color="auto"/>
      </w:divBdr>
    </w:div>
    <w:div w:id="279145629">
      <w:bodyDiv w:val="1"/>
      <w:marLeft w:val="0"/>
      <w:marRight w:val="0"/>
      <w:marTop w:val="0"/>
      <w:marBottom w:val="0"/>
      <w:divBdr>
        <w:top w:val="none" w:sz="0" w:space="0" w:color="auto"/>
        <w:left w:val="none" w:sz="0" w:space="0" w:color="auto"/>
        <w:bottom w:val="none" w:sz="0" w:space="0" w:color="auto"/>
        <w:right w:val="none" w:sz="0" w:space="0" w:color="auto"/>
      </w:divBdr>
    </w:div>
    <w:div w:id="325401741">
      <w:bodyDiv w:val="1"/>
      <w:marLeft w:val="0"/>
      <w:marRight w:val="0"/>
      <w:marTop w:val="0"/>
      <w:marBottom w:val="0"/>
      <w:divBdr>
        <w:top w:val="none" w:sz="0" w:space="0" w:color="auto"/>
        <w:left w:val="none" w:sz="0" w:space="0" w:color="auto"/>
        <w:bottom w:val="none" w:sz="0" w:space="0" w:color="auto"/>
        <w:right w:val="none" w:sz="0" w:space="0" w:color="auto"/>
      </w:divBdr>
    </w:div>
    <w:div w:id="367800711">
      <w:bodyDiv w:val="1"/>
      <w:marLeft w:val="0"/>
      <w:marRight w:val="0"/>
      <w:marTop w:val="0"/>
      <w:marBottom w:val="0"/>
      <w:divBdr>
        <w:top w:val="none" w:sz="0" w:space="0" w:color="auto"/>
        <w:left w:val="none" w:sz="0" w:space="0" w:color="auto"/>
        <w:bottom w:val="none" w:sz="0" w:space="0" w:color="auto"/>
        <w:right w:val="none" w:sz="0" w:space="0" w:color="auto"/>
      </w:divBdr>
    </w:div>
    <w:div w:id="428354591">
      <w:bodyDiv w:val="1"/>
      <w:marLeft w:val="0"/>
      <w:marRight w:val="0"/>
      <w:marTop w:val="0"/>
      <w:marBottom w:val="0"/>
      <w:divBdr>
        <w:top w:val="none" w:sz="0" w:space="0" w:color="auto"/>
        <w:left w:val="none" w:sz="0" w:space="0" w:color="auto"/>
        <w:bottom w:val="none" w:sz="0" w:space="0" w:color="auto"/>
        <w:right w:val="none" w:sz="0" w:space="0" w:color="auto"/>
      </w:divBdr>
    </w:div>
    <w:div w:id="440029556">
      <w:bodyDiv w:val="1"/>
      <w:marLeft w:val="0"/>
      <w:marRight w:val="0"/>
      <w:marTop w:val="0"/>
      <w:marBottom w:val="0"/>
      <w:divBdr>
        <w:top w:val="none" w:sz="0" w:space="0" w:color="auto"/>
        <w:left w:val="none" w:sz="0" w:space="0" w:color="auto"/>
        <w:bottom w:val="none" w:sz="0" w:space="0" w:color="auto"/>
        <w:right w:val="none" w:sz="0" w:space="0" w:color="auto"/>
      </w:divBdr>
    </w:div>
    <w:div w:id="444540063">
      <w:bodyDiv w:val="1"/>
      <w:marLeft w:val="0"/>
      <w:marRight w:val="0"/>
      <w:marTop w:val="0"/>
      <w:marBottom w:val="0"/>
      <w:divBdr>
        <w:top w:val="none" w:sz="0" w:space="0" w:color="auto"/>
        <w:left w:val="none" w:sz="0" w:space="0" w:color="auto"/>
        <w:bottom w:val="none" w:sz="0" w:space="0" w:color="auto"/>
        <w:right w:val="none" w:sz="0" w:space="0" w:color="auto"/>
      </w:divBdr>
    </w:div>
    <w:div w:id="511990056">
      <w:bodyDiv w:val="1"/>
      <w:marLeft w:val="0"/>
      <w:marRight w:val="0"/>
      <w:marTop w:val="0"/>
      <w:marBottom w:val="0"/>
      <w:divBdr>
        <w:top w:val="none" w:sz="0" w:space="0" w:color="auto"/>
        <w:left w:val="none" w:sz="0" w:space="0" w:color="auto"/>
        <w:bottom w:val="none" w:sz="0" w:space="0" w:color="auto"/>
        <w:right w:val="none" w:sz="0" w:space="0" w:color="auto"/>
      </w:divBdr>
    </w:div>
    <w:div w:id="537201582">
      <w:bodyDiv w:val="1"/>
      <w:marLeft w:val="0"/>
      <w:marRight w:val="0"/>
      <w:marTop w:val="0"/>
      <w:marBottom w:val="0"/>
      <w:divBdr>
        <w:top w:val="none" w:sz="0" w:space="0" w:color="auto"/>
        <w:left w:val="none" w:sz="0" w:space="0" w:color="auto"/>
        <w:bottom w:val="none" w:sz="0" w:space="0" w:color="auto"/>
        <w:right w:val="none" w:sz="0" w:space="0" w:color="auto"/>
      </w:divBdr>
    </w:div>
    <w:div w:id="605505867">
      <w:bodyDiv w:val="1"/>
      <w:marLeft w:val="0"/>
      <w:marRight w:val="0"/>
      <w:marTop w:val="0"/>
      <w:marBottom w:val="0"/>
      <w:divBdr>
        <w:top w:val="none" w:sz="0" w:space="0" w:color="auto"/>
        <w:left w:val="none" w:sz="0" w:space="0" w:color="auto"/>
        <w:bottom w:val="none" w:sz="0" w:space="0" w:color="auto"/>
        <w:right w:val="none" w:sz="0" w:space="0" w:color="auto"/>
      </w:divBdr>
    </w:div>
    <w:div w:id="621545692">
      <w:bodyDiv w:val="1"/>
      <w:marLeft w:val="0"/>
      <w:marRight w:val="0"/>
      <w:marTop w:val="0"/>
      <w:marBottom w:val="0"/>
      <w:divBdr>
        <w:top w:val="none" w:sz="0" w:space="0" w:color="auto"/>
        <w:left w:val="none" w:sz="0" w:space="0" w:color="auto"/>
        <w:bottom w:val="none" w:sz="0" w:space="0" w:color="auto"/>
        <w:right w:val="none" w:sz="0" w:space="0" w:color="auto"/>
      </w:divBdr>
    </w:div>
    <w:div w:id="637691685">
      <w:bodyDiv w:val="1"/>
      <w:marLeft w:val="0"/>
      <w:marRight w:val="0"/>
      <w:marTop w:val="0"/>
      <w:marBottom w:val="0"/>
      <w:divBdr>
        <w:top w:val="none" w:sz="0" w:space="0" w:color="auto"/>
        <w:left w:val="none" w:sz="0" w:space="0" w:color="auto"/>
        <w:bottom w:val="none" w:sz="0" w:space="0" w:color="auto"/>
        <w:right w:val="none" w:sz="0" w:space="0" w:color="auto"/>
      </w:divBdr>
    </w:div>
    <w:div w:id="651565552">
      <w:bodyDiv w:val="1"/>
      <w:marLeft w:val="0"/>
      <w:marRight w:val="0"/>
      <w:marTop w:val="0"/>
      <w:marBottom w:val="0"/>
      <w:divBdr>
        <w:top w:val="none" w:sz="0" w:space="0" w:color="auto"/>
        <w:left w:val="none" w:sz="0" w:space="0" w:color="auto"/>
        <w:bottom w:val="none" w:sz="0" w:space="0" w:color="auto"/>
        <w:right w:val="none" w:sz="0" w:space="0" w:color="auto"/>
      </w:divBdr>
    </w:div>
    <w:div w:id="715280438">
      <w:bodyDiv w:val="1"/>
      <w:marLeft w:val="0"/>
      <w:marRight w:val="0"/>
      <w:marTop w:val="0"/>
      <w:marBottom w:val="0"/>
      <w:divBdr>
        <w:top w:val="none" w:sz="0" w:space="0" w:color="auto"/>
        <w:left w:val="none" w:sz="0" w:space="0" w:color="auto"/>
        <w:bottom w:val="none" w:sz="0" w:space="0" w:color="auto"/>
        <w:right w:val="none" w:sz="0" w:space="0" w:color="auto"/>
      </w:divBdr>
    </w:div>
    <w:div w:id="792361457">
      <w:bodyDiv w:val="1"/>
      <w:marLeft w:val="0"/>
      <w:marRight w:val="0"/>
      <w:marTop w:val="0"/>
      <w:marBottom w:val="0"/>
      <w:divBdr>
        <w:top w:val="none" w:sz="0" w:space="0" w:color="auto"/>
        <w:left w:val="none" w:sz="0" w:space="0" w:color="auto"/>
        <w:bottom w:val="none" w:sz="0" w:space="0" w:color="auto"/>
        <w:right w:val="none" w:sz="0" w:space="0" w:color="auto"/>
      </w:divBdr>
    </w:div>
    <w:div w:id="818544862">
      <w:bodyDiv w:val="1"/>
      <w:marLeft w:val="0"/>
      <w:marRight w:val="0"/>
      <w:marTop w:val="0"/>
      <w:marBottom w:val="0"/>
      <w:divBdr>
        <w:top w:val="none" w:sz="0" w:space="0" w:color="auto"/>
        <w:left w:val="none" w:sz="0" w:space="0" w:color="auto"/>
        <w:bottom w:val="none" w:sz="0" w:space="0" w:color="auto"/>
        <w:right w:val="none" w:sz="0" w:space="0" w:color="auto"/>
      </w:divBdr>
    </w:div>
    <w:div w:id="830683753">
      <w:bodyDiv w:val="1"/>
      <w:marLeft w:val="0"/>
      <w:marRight w:val="0"/>
      <w:marTop w:val="0"/>
      <w:marBottom w:val="0"/>
      <w:divBdr>
        <w:top w:val="none" w:sz="0" w:space="0" w:color="auto"/>
        <w:left w:val="none" w:sz="0" w:space="0" w:color="auto"/>
        <w:bottom w:val="none" w:sz="0" w:space="0" w:color="auto"/>
        <w:right w:val="none" w:sz="0" w:space="0" w:color="auto"/>
      </w:divBdr>
    </w:div>
    <w:div w:id="902445430">
      <w:bodyDiv w:val="1"/>
      <w:marLeft w:val="0"/>
      <w:marRight w:val="0"/>
      <w:marTop w:val="0"/>
      <w:marBottom w:val="0"/>
      <w:divBdr>
        <w:top w:val="none" w:sz="0" w:space="0" w:color="auto"/>
        <w:left w:val="none" w:sz="0" w:space="0" w:color="auto"/>
        <w:bottom w:val="none" w:sz="0" w:space="0" w:color="auto"/>
        <w:right w:val="none" w:sz="0" w:space="0" w:color="auto"/>
      </w:divBdr>
    </w:div>
    <w:div w:id="937903644">
      <w:bodyDiv w:val="1"/>
      <w:marLeft w:val="0"/>
      <w:marRight w:val="0"/>
      <w:marTop w:val="0"/>
      <w:marBottom w:val="0"/>
      <w:divBdr>
        <w:top w:val="none" w:sz="0" w:space="0" w:color="auto"/>
        <w:left w:val="none" w:sz="0" w:space="0" w:color="auto"/>
        <w:bottom w:val="none" w:sz="0" w:space="0" w:color="auto"/>
        <w:right w:val="none" w:sz="0" w:space="0" w:color="auto"/>
      </w:divBdr>
    </w:div>
    <w:div w:id="1046681561">
      <w:bodyDiv w:val="1"/>
      <w:marLeft w:val="0"/>
      <w:marRight w:val="0"/>
      <w:marTop w:val="0"/>
      <w:marBottom w:val="0"/>
      <w:divBdr>
        <w:top w:val="none" w:sz="0" w:space="0" w:color="auto"/>
        <w:left w:val="none" w:sz="0" w:space="0" w:color="auto"/>
        <w:bottom w:val="none" w:sz="0" w:space="0" w:color="auto"/>
        <w:right w:val="none" w:sz="0" w:space="0" w:color="auto"/>
      </w:divBdr>
    </w:div>
    <w:div w:id="1050954234">
      <w:bodyDiv w:val="1"/>
      <w:marLeft w:val="0"/>
      <w:marRight w:val="0"/>
      <w:marTop w:val="0"/>
      <w:marBottom w:val="0"/>
      <w:divBdr>
        <w:top w:val="none" w:sz="0" w:space="0" w:color="auto"/>
        <w:left w:val="none" w:sz="0" w:space="0" w:color="auto"/>
        <w:bottom w:val="none" w:sz="0" w:space="0" w:color="auto"/>
        <w:right w:val="none" w:sz="0" w:space="0" w:color="auto"/>
      </w:divBdr>
    </w:div>
    <w:div w:id="1063675478">
      <w:bodyDiv w:val="1"/>
      <w:marLeft w:val="0"/>
      <w:marRight w:val="0"/>
      <w:marTop w:val="0"/>
      <w:marBottom w:val="0"/>
      <w:divBdr>
        <w:top w:val="none" w:sz="0" w:space="0" w:color="auto"/>
        <w:left w:val="none" w:sz="0" w:space="0" w:color="auto"/>
        <w:bottom w:val="none" w:sz="0" w:space="0" w:color="auto"/>
        <w:right w:val="none" w:sz="0" w:space="0" w:color="auto"/>
      </w:divBdr>
    </w:div>
    <w:div w:id="1165127591">
      <w:bodyDiv w:val="1"/>
      <w:marLeft w:val="0"/>
      <w:marRight w:val="0"/>
      <w:marTop w:val="0"/>
      <w:marBottom w:val="0"/>
      <w:divBdr>
        <w:top w:val="none" w:sz="0" w:space="0" w:color="auto"/>
        <w:left w:val="none" w:sz="0" w:space="0" w:color="auto"/>
        <w:bottom w:val="none" w:sz="0" w:space="0" w:color="auto"/>
        <w:right w:val="none" w:sz="0" w:space="0" w:color="auto"/>
      </w:divBdr>
    </w:div>
    <w:div w:id="1192114307">
      <w:bodyDiv w:val="1"/>
      <w:marLeft w:val="0"/>
      <w:marRight w:val="0"/>
      <w:marTop w:val="0"/>
      <w:marBottom w:val="0"/>
      <w:divBdr>
        <w:top w:val="none" w:sz="0" w:space="0" w:color="auto"/>
        <w:left w:val="none" w:sz="0" w:space="0" w:color="auto"/>
        <w:bottom w:val="none" w:sz="0" w:space="0" w:color="auto"/>
        <w:right w:val="none" w:sz="0" w:space="0" w:color="auto"/>
      </w:divBdr>
    </w:div>
    <w:div w:id="1213805362">
      <w:bodyDiv w:val="1"/>
      <w:marLeft w:val="0"/>
      <w:marRight w:val="0"/>
      <w:marTop w:val="0"/>
      <w:marBottom w:val="0"/>
      <w:divBdr>
        <w:top w:val="none" w:sz="0" w:space="0" w:color="auto"/>
        <w:left w:val="none" w:sz="0" w:space="0" w:color="auto"/>
        <w:bottom w:val="none" w:sz="0" w:space="0" w:color="auto"/>
        <w:right w:val="none" w:sz="0" w:space="0" w:color="auto"/>
      </w:divBdr>
    </w:div>
    <w:div w:id="1218400040">
      <w:bodyDiv w:val="1"/>
      <w:marLeft w:val="0"/>
      <w:marRight w:val="0"/>
      <w:marTop w:val="0"/>
      <w:marBottom w:val="0"/>
      <w:divBdr>
        <w:top w:val="none" w:sz="0" w:space="0" w:color="auto"/>
        <w:left w:val="none" w:sz="0" w:space="0" w:color="auto"/>
        <w:bottom w:val="none" w:sz="0" w:space="0" w:color="auto"/>
        <w:right w:val="none" w:sz="0" w:space="0" w:color="auto"/>
      </w:divBdr>
    </w:div>
    <w:div w:id="1255481691">
      <w:bodyDiv w:val="1"/>
      <w:marLeft w:val="0"/>
      <w:marRight w:val="0"/>
      <w:marTop w:val="0"/>
      <w:marBottom w:val="0"/>
      <w:divBdr>
        <w:top w:val="none" w:sz="0" w:space="0" w:color="auto"/>
        <w:left w:val="none" w:sz="0" w:space="0" w:color="auto"/>
        <w:bottom w:val="none" w:sz="0" w:space="0" w:color="auto"/>
        <w:right w:val="none" w:sz="0" w:space="0" w:color="auto"/>
      </w:divBdr>
    </w:div>
    <w:div w:id="1328248078">
      <w:bodyDiv w:val="1"/>
      <w:marLeft w:val="0"/>
      <w:marRight w:val="0"/>
      <w:marTop w:val="0"/>
      <w:marBottom w:val="0"/>
      <w:divBdr>
        <w:top w:val="none" w:sz="0" w:space="0" w:color="auto"/>
        <w:left w:val="none" w:sz="0" w:space="0" w:color="auto"/>
        <w:bottom w:val="none" w:sz="0" w:space="0" w:color="auto"/>
        <w:right w:val="none" w:sz="0" w:space="0" w:color="auto"/>
      </w:divBdr>
    </w:div>
    <w:div w:id="1485466579">
      <w:bodyDiv w:val="1"/>
      <w:marLeft w:val="0"/>
      <w:marRight w:val="0"/>
      <w:marTop w:val="0"/>
      <w:marBottom w:val="0"/>
      <w:divBdr>
        <w:top w:val="none" w:sz="0" w:space="0" w:color="auto"/>
        <w:left w:val="none" w:sz="0" w:space="0" w:color="auto"/>
        <w:bottom w:val="none" w:sz="0" w:space="0" w:color="auto"/>
        <w:right w:val="none" w:sz="0" w:space="0" w:color="auto"/>
      </w:divBdr>
    </w:div>
    <w:div w:id="1542785461">
      <w:bodyDiv w:val="1"/>
      <w:marLeft w:val="0"/>
      <w:marRight w:val="0"/>
      <w:marTop w:val="0"/>
      <w:marBottom w:val="0"/>
      <w:divBdr>
        <w:top w:val="none" w:sz="0" w:space="0" w:color="auto"/>
        <w:left w:val="none" w:sz="0" w:space="0" w:color="auto"/>
        <w:bottom w:val="none" w:sz="0" w:space="0" w:color="auto"/>
        <w:right w:val="none" w:sz="0" w:space="0" w:color="auto"/>
      </w:divBdr>
    </w:div>
    <w:div w:id="1644580483">
      <w:bodyDiv w:val="1"/>
      <w:marLeft w:val="0"/>
      <w:marRight w:val="0"/>
      <w:marTop w:val="0"/>
      <w:marBottom w:val="0"/>
      <w:divBdr>
        <w:top w:val="none" w:sz="0" w:space="0" w:color="auto"/>
        <w:left w:val="none" w:sz="0" w:space="0" w:color="auto"/>
        <w:bottom w:val="none" w:sz="0" w:space="0" w:color="auto"/>
        <w:right w:val="none" w:sz="0" w:space="0" w:color="auto"/>
      </w:divBdr>
    </w:div>
    <w:div w:id="1671331528">
      <w:bodyDiv w:val="1"/>
      <w:marLeft w:val="0"/>
      <w:marRight w:val="0"/>
      <w:marTop w:val="0"/>
      <w:marBottom w:val="0"/>
      <w:divBdr>
        <w:top w:val="none" w:sz="0" w:space="0" w:color="auto"/>
        <w:left w:val="none" w:sz="0" w:space="0" w:color="auto"/>
        <w:bottom w:val="none" w:sz="0" w:space="0" w:color="auto"/>
        <w:right w:val="none" w:sz="0" w:space="0" w:color="auto"/>
      </w:divBdr>
    </w:div>
    <w:div w:id="1760642497">
      <w:bodyDiv w:val="1"/>
      <w:marLeft w:val="0"/>
      <w:marRight w:val="0"/>
      <w:marTop w:val="0"/>
      <w:marBottom w:val="0"/>
      <w:divBdr>
        <w:top w:val="none" w:sz="0" w:space="0" w:color="auto"/>
        <w:left w:val="none" w:sz="0" w:space="0" w:color="auto"/>
        <w:bottom w:val="none" w:sz="0" w:space="0" w:color="auto"/>
        <w:right w:val="none" w:sz="0" w:space="0" w:color="auto"/>
      </w:divBdr>
    </w:div>
    <w:div w:id="1781408434">
      <w:bodyDiv w:val="1"/>
      <w:marLeft w:val="0"/>
      <w:marRight w:val="0"/>
      <w:marTop w:val="0"/>
      <w:marBottom w:val="0"/>
      <w:divBdr>
        <w:top w:val="none" w:sz="0" w:space="0" w:color="auto"/>
        <w:left w:val="none" w:sz="0" w:space="0" w:color="auto"/>
        <w:bottom w:val="none" w:sz="0" w:space="0" w:color="auto"/>
        <w:right w:val="none" w:sz="0" w:space="0" w:color="auto"/>
      </w:divBdr>
    </w:div>
    <w:div w:id="1838182537">
      <w:bodyDiv w:val="1"/>
      <w:marLeft w:val="0"/>
      <w:marRight w:val="0"/>
      <w:marTop w:val="0"/>
      <w:marBottom w:val="0"/>
      <w:divBdr>
        <w:top w:val="none" w:sz="0" w:space="0" w:color="auto"/>
        <w:left w:val="none" w:sz="0" w:space="0" w:color="auto"/>
        <w:bottom w:val="none" w:sz="0" w:space="0" w:color="auto"/>
        <w:right w:val="none" w:sz="0" w:space="0" w:color="auto"/>
      </w:divBdr>
    </w:div>
    <w:div w:id="1934431569">
      <w:bodyDiv w:val="1"/>
      <w:marLeft w:val="0"/>
      <w:marRight w:val="0"/>
      <w:marTop w:val="0"/>
      <w:marBottom w:val="0"/>
      <w:divBdr>
        <w:top w:val="none" w:sz="0" w:space="0" w:color="auto"/>
        <w:left w:val="none" w:sz="0" w:space="0" w:color="auto"/>
        <w:bottom w:val="none" w:sz="0" w:space="0" w:color="auto"/>
        <w:right w:val="none" w:sz="0" w:space="0" w:color="auto"/>
      </w:divBdr>
    </w:div>
    <w:div w:id="2023896311">
      <w:bodyDiv w:val="1"/>
      <w:marLeft w:val="0"/>
      <w:marRight w:val="0"/>
      <w:marTop w:val="0"/>
      <w:marBottom w:val="0"/>
      <w:divBdr>
        <w:top w:val="none" w:sz="0" w:space="0" w:color="auto"/>
        <w:left w:val="none" w:sz="0" w:space="0" w:color="auto"/>
        <w:bottom w:val="none" w:sz="0" w:space="0" w:color="auto"/>
        <w:right w:val="none" w:sz="0" w:space="0" w:color="auto"/>
      </w:divBdr>
    </w:div>
    <w:div w:id="2038071029">
      <w:bodyDiv w:val="1"/>
      <w:marLeft w:val="0"/>
      <w:marRight w:val="0"/>
      <w:marTop w:val="0"/>
      <w:marBottom w:val="0"/>
      <w:divBdr>
        <w:top w:val="none" w:sz="0" w:space="0" w:color="auto"/>
        <w:left w:val="none" w:sz="0" w:space="0" w:color="auto"/>
        <w:bottom w:val="none" w:sz="0" w:space="0" w:color="auto"/>
        <w:right w:val="none" w:sz="0" w:space="0" w:color="auto"/>
      </w:divBdr>
    </w:div>
    <w:div w:id="208760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E1D7E7D4EEC9D146BE2CF640EE7999E0" ma:contentTypeVersion="15" ma:contentTypeDescription="Yeni belge oluşturun." ma:contentTypeScope="" ma:versionID="07b6f9c294558c2b3af1d8b3c0357758">
  <xsd:schema xmlns:xsd="http://www.w3.org/2001/XMLSchema" xmlns:xs="http://www.w3.org/2001/XMLSchema" xmlns:p="http://schemas.microsoft.com/office/2006/metadata/properties" xmlns:ns2="5e3af4a5-984b-4b1d-b5d7-bb26ce05161a" xmlns:ns3="f8fb3262-dbc2-441e-aab2-289cccc96247" targetNamespace="http://schemas.microsoft.com/office/2006/metadata/properties" ma:root="true" ma:fieldsID="c2d44368bdc53add1980b6316b2670fd" ns2:_="" ns3:_="">
    <xsd:import namespace="5e3af4a5-984b-4b1d-b5d7-bb26ce05161a"/>
    <xsd:import namespace="f8fb3262-dbc2-441e-aab2-289cccc962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af4a5-984b-4b1d-b5d7-bb26ce05161a"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TaxCatchAll" ma:index="15" nillable="true" ma:displayName="Tüm Sınıflandırmayı Yakala Sütunu" ma:hidden="true" ma:list="{7a0f98d2-e801-418d-9f43-34d8669166fc}" ma:internalName="TaxCatchAll" ma:showField="CatchAllData" ma:web="5e3af4a5-984b-4b1d-b5d7-bb26ce051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fb3262-dbc2-441e-aab2-289cccc962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Resim Etiketleri" ma:readOnly="false" ma:fieldId="{5cf76f15-5ced-4ddc-b409-7134ff3c332f}" ma:taxonomyMulti="true" ma:sspId="d93cb389-d351-488c-8194-2c891070e8c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4B7C7B-8F8D-4B1E-971D-D16B1D96EFAA}">
  <ds:schemaRefs>
    <ds:schemaRef ds:uri="http://schemas.microsoft.com/sharepoint/v3/contenttype/forms"/>
  </ds:schemaRefs>
</ds:datastoreItem>
</file>

<file path=customXml/itemProps2.xml><?xml version="1.0" encoding="utf-8"?>
<ds:datastoreItem xmlns:ds="http://schemas.openxmlformats.org/officeDocument/2006/customXml" ds:itemID="{99C4BB84-1CEC-42E8-8B68-6164C8138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af4a5-984b-4b1d-b5d7-bb26ce05161a"/>
    <ds:schemaRef ds:uri="f8fb3262-dbc2-441e-aab2-289cccc96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2213</Words>
  <Characters>12619</Characters>
  <Application>Microsoft Office Word</Application>
  <DocSecurity>4</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 ARPASLAN</dc:creator>
  <cp:lastModifiedBy>Aslı ASLAN</cp:lastModifiedBy>
  <cp:revision>2</cp:revision>
  <cp:lastPrinted>2021-07-08T07:52:00Z</cp:lastPrinted>
  <dcterms:created xsi:type="dcterms:W3CDTF">2024-07-18T07:20:00Z</dcterms:created>
  <dcterms:modified xsi:type="dcterms:W3CDTF">2024-07-18T07:20:00Z</dcterms:modified>
</cp:coreProperties>
</file>