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3A87ABC3" w14:textId="77777777" w:rsidR="005273DE" w:rsidRPr="005273DE" w:rsidRDefault="005273DE" w:rsidP="00621CF3">
      <w:pPr>
        <w:spacing w:after="0"/>
        <w:jc w:val="center"/>
        <w:rPr>
          <w:rFonts w:ascii="Times New Roman" w:eastAsia="Times New Roman" w:hAnsi="Times New Roman"/>
          <w:b/>
          <w:sz w:val="28"/>
          <w:szCs w:val="28"/>
        </w:rPr>
      </w:pPr>
      <w:r w:rsidRPr="005273DE">
        <w:rPr>
          <w:rFonts w:ascii="Times New Roman" w:eastAsia="Times New Roman" w:hAnsi="Times New Roman"/>
          <w:b/>
          <w:sz w:val="28"/>
          <w:szCs w:val="28"/>
        </w:rPr>
        <w:t>HEDEF PORTFÖY KATILIM HİSSE SENEDİ SERBEST (TL) FON (HİSSE SENEDİ YOĞUN FON)</w:t>
      </w:r>
    </w:p>
    <w:p w14:paraId="7D7018FF" w14:textId="10FE872F" w:rsidR="00621CF3" w:rsidRPr="00237C1F" w:rsidRDefault="00985710" w:rsidP="00621CF3">
      <w:pPr>
        <w:spacing w:after="0"/>
        <w:jc w:val="center"/>
        <w:rPr>
          <w:rFonts w:ascii="Times New Roman" w:hAnsi="Times New Roman" w:cs="Times New Roman"/>
          <w:sz w:val="24"/>
          <w:szCs w:val="24"/>
        </w:rPr>
      </w:pPr>
      <w:r w:rsidRPr="00985710">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237C1F">
        <w:rPr>
          <w:rFonts w:ascii="Times New Roman" w:hAnsi="Times New Roman" w:cs="Times New Roman"/>
          <w:sz w:val="24"/>
          <w:szCs w:val="24"/>
        </w:rPr>
        <w:t xml:space="preserve">DÖNEMİNE AİT </w:t>
      </w:r>
    </w:p>
    <w:p w14:paraId="507BF98E" w14:textId="77777777"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 </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0C727F2F" w14:textId="77777777" w:rsidR="00621CF3" w:rsidRDefault="00621CF3" w:rsidP="00621CF3">
      <w:pPr>
        <w:spacing w:after="0"/>
        <w:jc w:val="center"/>
        <w:rPr>
          <w:rFonts w:ascii="Times New Roman" w:hAnsi="Times New Roman" w:cs="Times New Roman"/>
          <w:sz w:val="24"/>
          <w:szCs w:val="24"/>
        </w:rPr>
      </w:pPr>
    </w:p>
    <w:p w14:paraId="1F85F09D" w14:textId="77777777" w:rsidR="00621CF3" w:rsidRDefault="00621CF3" w:rsidP="00621CF3">
      <w:pPr>
        <w:spacing w:after="0"/>
        <w:jc w:val="center"/>
        <w:rPr>
          <w:rFonts w:ascii="Times New Roman" w:hAnsi="Times New Roman" w:cs="Times New Roman"/>
          <w:sz w:val="24"/>
          <w:szCs w:val="24"/>
        </w:rPr>
      </w:pPr>
    </w:p>
    <w:p w14:paraId="706C75E6" w14:textId="77777777" w:rsidR="00621CF3" w:rsidRDefault="00621CF3" w:rsidP="00621CF3">
      <w:pPr>
        <w:spacing w:after="0"/>
        <w:jc w:val="center"/>
        <w:rPr>
          <w:rFonts w:ascii="Times New Roman" w:hAnsi="Times New Roman" w:cs="Times New Roman"/>
          <w:sz w:val="24"/>
          <w:szCs w:val="24"/>
        </w:rPr>
      </w:pPr>
    </w:p>
    <w:p w14:paraId="0BF3E19C" w14:textId="77777777" w:rsidR="00621CF3"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10A21E75"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1F03D6" w:rsidRDefault="00621CF3" w:rsidP="00621CF3">
      <w:pPr>
        <w:pStyle w:val="ListeParagraf"/>
        <w:numPr>
          <w:ilvl w:val="0"/>
          <w:numId w:val="1"/>
        </w:numPr>
        <w:rPr>
          <w:rFonts w:ascii="Times New Roman" w:hAnsi="Times New Roman" w:cs="Times New Roman"/>
          <w:b/>
          <w:sz w:val="24"/>
          <w:szCs w:val="24"/>
        </w:rPr>
      </w:pPr>
      <w:r w:rsidRPr="001F03D6">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716"/>
        <w:gridCol w:w="5477"/>
      </w:tblGrid>
      <w:tr w:rsidR="001B1348" w:rsidRPr="001F03D6" w14:paraId="1687B3A0" w14:textId="77777777" w:rsidTr="00123D3D">
        <w:trPr>
          <w:trHeight w:val="818"/>
        </w:trPr>
        <w:tc>
          <w:tcPr>
            <w:tcW w:w="3539" w:type="dxa"/>
            <w:gridSpan w:val="2"/>
          </w:tcPr>
          <w:p w14:paraId="14F7997E"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PORTFÖYE BAKIŞ</w:t>
            </w:r>
          </w:p>
          <w:p w14:paraId="79C8466B" w14:textId="77777777" w:rsidR="001B1348" w:rsidRPr="001F03D6" w:rsidRDefault="001B1348" w:rsidP="001B1348">
            <w:pPr>
              <w:jc w:val="center"/>
              <w:rPr>
                <w:rFonts w:ascii="Times New Roman" w:hAnsi="Times New Roman" w:cs="Times New Roman"/>
                <w:sz w:val="24"/>
                <w:szCs w:val="24"/>
              </w:rPr>
            </w:pPr>
            <w:r w:rsidRPr="001F03D6">
              <w:rPr>
                <w:rFonts w:ascii="Times New Roman" w:hAnsi="Times New Roman" w:cs="Times New Roman"/>
                <w:sz w:val="24"/>
                <w:szCs w:val="24"/>
              </w:rPr>
              <w:t>Fon’un Halka Arz Tarihi:</w:t>
            </w:r>
          </w:p>
          <w:p w14:paraId="13427A4C" w14:textId="58927C48" w:rsidR="001B1348" w:rsidRPr="001F03D6" w:rsidRDefault="005273DE" w:rsidP="001B1348">
            <w:pPr>
              <w:jc w:val="center"/>
              <w:rPr>
                <w:rFonts w:ascii="Times New Roman" w:hAnsi="Times New Roman" w:cs="Times New Roman"/>
                <w:sz w:val="24"/>
                <w:szCs w:val="24"/>
              </w:rPr>
            </w:pPr>
            <w:r>
              <w:rPr>
                <w:rFonts w:ascii="Times New Roman" w:hAnsi="Times New Roman" w:cs="Times New Roman"/>
                <w:sz w:val="24"/>
                <w:szCs w:val="24"/>
              </w:rPr>
              <w:t>0</w:t>
            </w:r>
            <w:r w:rsidR="00B7354D">
              <w:rPr>
                <w:rFonts w:ascii="Times New Roman" w:hAnsi="Times New Roman" w:cs="Times New Roman"/>
                <w:sz w:val="24"/>
                <w:szCs w:val="24"/>
              </w:rPr>
              <w:t>8</w:t>
            </w:r>
            <w:r>
              <w:rPr>
                <w:rFonts w:ascii="Times New Roman" w:hAnsi="Times New Roman" w:cs="Times New Roman"/>
                <w:sz w:val="24"/>
                <w:szCs w:val="24"/>
              </w:rPr>
              <w:t>/06/</w:t>
            </w:r>
            <w:r w:rsidR="00840A96">
              <w:rPr>
                <w:rFonts w:ascii="Times New Roman" w:hAnsi="Times New Roman" w:cs="Times New Roman"/>
                <w:sz w:val="24"/>
                <w:szCs w:val="24"/>
              </w:rPr>
              <w:t>2023</w:t>
            </w:r>
          </w:p>
        </w:tc>
        <w:tc>
          <w:tcPr>
            <w:tcW w:w="5477" w:type="dxa"/>
          </w:tcPr>
          <w:p w14:paraId="785A8029" w14:textId="77777777" w:rsidR="001B1348" w:rsidRPr="001F03D6" w:rsidRDefault="001B1348" w:rsidP="001B1348">
            <w:pPr>
              <w:jc w:val="center"/>
              <w:rPr>
                <w:rFonts w:ascii="Times New Roman" w:hAnsi="Times New Roman" w:cs="Times New Roman"/>
                <w:b/>
                <w:sz w:val="24"/>
                <w:szCs w:val="24"/>
              </w:rPr>
            </w:pPr>
          </w:p>
          <w:p w14:paraId="42F39AD5"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YATIRIM VE YÖNETİME İLİŞKİN BİLGİLER</w:t>
            </w:r>
          </w:p>
        </w:tc>
      </w:tr>
      <w:tr w:rsidR="001B1348" w:rsidRPr="001F03D6" w14:paraId="52D08609" w14:textId="77777777" w:rsidTr="00123D3D">
        <w:trPr>
          <w:trHeight w:val="272"/>
        </w:trPr>
        <w:tc>
          <w:tcPr>
            <w:tcW w:w="3539" w:type="dxa"/>
            <w:gridSpan w:val="2"/>
          </w:tcPr>
          <w:p w14:paraId="6F02B738" w14:textId="3F3F5EE4" w:rsidR="001B1348" w:rsidRPr="001F03D6" w:rsidRDefault="00FD02A3" w:rsidP="00D3039E">
            <w:pPr>
              <w:jc w:val="center"/>
              <w:rPr>
                <w:rFonts w:ascii="Times New Roman" w:hAnsi="Times New Roman" w:cs="Times New Roman"/>
                <w:b/>
                <w:sz w:val="24"/>
                <w:szCs w:val="24"/>
              </w:rPr>
            </w:pPr>
            <w:r w:rsidRPr="00FD02A3">
              <w:rPr>
                <w:rFonts w:ascii="Times New Roman" w:hAnsi="Times New Roman" w:cs="Times New Roman"/>
                <w:b/>
                <w:sz w:val="24"/>
                <w:szCs w:val="24"/>
              </w:rPr>
              <w:t>30 Haziran 2024 itibariyle</w:t>
            </w:r>
          </w:p>
        </w:tc>
        <w:tc>
          <w:tcPr>
            <w:tcW w:w="5477" w:type="dxa"/>
          </w:tcPr>
          <w:p w14:paraId="563BE517"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Portföy Yöneticileri</w:t>
            </w:r>
          </w:p>
        </w:tc>
      </w:tr>
      <w:tr w:rsidR="001B1348" w:rsidRPr="001F03D6" w14:paraId="1C4CE836" w14:textId="77777777" w:rsidTr="00123D3D">
        <w:trPr>
          <w:trHeight w:val="546"/>
        </w:trPr>
        <w:tc>
          <w:tcPr>
            <w:tcW w:w="1823" w:type="dxa"/>
          </w:tcPr>
          <w:p w14:paraId="24B2E994" w14:textId="77777777" w:rsidR="001B1348" w:rsidRPr="001F03D6" w:rsidRDefault="001B1348" w:rsidP="00A05B08">
            <w:pPr>
              <w:rPr>
                <w:rFonts w:ascii="Times New Roman" w:hAnsi="Times New Roman" w:cs="Times New Roman"/>
                <w:sz w:val="24"/>
                <w:szCs w:val="24"/>
              </w:rPr>
            </w:pPr>
            <w:r w:rsidRPr="001F03D6">
              <w:rPr>
                <w:rFonts w:ascii="Times New Roman" w:hAnsi="Times New Roman" w:cs="Times New Roman"/>
                <w:sz w:val="24"/>
                <w:szCs w:val="24"/>
              </w:rPr>
              <w:t>Fon Toplam Değeri</w:t>
            </w:r>
          </w:p>
        </w:tc>
        <w:tc>
          <w:tcPr>
            <w:tcW w:w="1716" w:type="dxa"/>
          </w:tcPr>
          <w:p w14:paraId="7EB7923A" w14:textId="4327336B" w:rsidR="001B1348" w:rsidRPr="001F03D6" w:rsidRDefault="00B36733" w:rsidP="00236423">
            <w:pPr>
              <w:jc w:val="right"/>
              <w:rPr>
                <w:rFonts w:ascii="Times New Roman" w:hAnsi="Times New Roman" w:cs="Times New Roman"/>
                <w:sz w:val="24"/>
                <w:szCs w:val="24"/>
              </w:rPr>
            </w:pPr>
            <w:r w:rsidRPr="00B36733">
              <w:rPr>
                <w:rFonts w:ascii="Times New Roman" w:hAnsi="Times New Roman" w:cs="Times New Roman"/>
                <w:sz w:val="24"/>
                <w:szCs w:val="24"/>
              </w:rPr>
              <w:t>577.450.006,59</w:t>
            </w:r>
            <w:r w:rsidR="00123D3D" w:rsidRPr="00123D3D">
              <w:rPr>
                <w:rFonts w:ascii="Times New Roman" w:hAnsi="Times New Roman" w:cs="Times New Roman"/>
                <w:sz w:val="24"/>
                <w:szCs w:val="24"/>
              </w:rPr>
              <w:tab/>
            </w:r>
            <w:r w:rsidR="00123D3D" w:rsidRPr="00123D3D">
              <w:rPr>
                <w:rFonts w:ascii="Times New Roman" w:hAnsi="Times New Roman" w:cs="Times New Roman"/>
                <w:sz w:val="24"/>
                <w:szCs w:val="24"/>
              </w:rPr>
              <w:tab/>
            </w:r>
          </w:p>
        </w:tc>
        <w:tc>
          <w:tcPr>
            <w:tcW w:w="5477" w:type="dxa"/>
          </w:tcPr>
          <w:p w14:paraId="2D3D6EEA" w14:textId="5F5D3036" w:rsidR="001B1348" w:rsidRPr="001F03D6" w:rsidRDefault="005A00FC"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63F23F57" w:rsidR="00E3650A" w:rsidRPr="001F03D6" w:rsidRDefault="005A00FC" w:rsidP="00CF029B">
            <w:pPr>
              <w:rPr>
                <w:rFonts w:ascii="Times New Roman" w:hAnsi="Times New Roman" w:cs="Times New Roman"/>
                <w:sz w:val="24"/>
                <w:szCs w:val="24"/>
              </w:rPr>
            </w:pPr>
            <w:r>
              <w:rPr>
                <w:rFonts w:ascii="Times New Roman" w:hAnsi="Times New Roman" w:cs="Times New Roman"/>
                <w:sz w:val="24"/>
                <w:szCs w:val="24"/>
              </w:rPr>
              <w:t>Yunus Şahin</w:t>
            </w:r>
          </w:p>
        </w:tc>
      </w:tr>
      <w:tr w:rsidR="001B1348" w:rsidRPr="001F03D6" w14:paraId="49414BC0" w14:textId="77777777" w:rsidTr="00123D3D">
        <w:trPr>
          <w:trHeight w:val="546"/>
        </w:trPr>
        <w:tc>
          <w:tcPr>
            <w:tcW w:w="1823" w:type="dxa"/>
          </w:tcPr>
          <w:p w14:paraId="4D752AFF" w14:textId="77777777" w:rsidR="001B1348" w:rsidRPr="001F03D6" w:rsidRDefault="001B1348" w:rsidP="00A05B08">
            <w:pPr>
              <w:rPr>
                <w:rFonts w:ascii="Times New Roman" w:hAnsi="Times New Roman" w:cs="Times New Roman"/>
                <w:sz w:val="24"/>
                <w:szCs w:val="24"/>
              </w:rPr>
            </w:pPr>
            <w:r w:rsidRPr="001F03D6">
              <w:rPr>
                <w:rFonts w:ascii="Times New Roman" w:hAnsi="Times New Roman" w:cs="Times New Roman"/>
                <w:sz w:val="24"/>
                <w:szCs w:val="24"/>
              </w:rPr>
              <w:t>Birim Pay Değeri</w:t>
            </w:r>
          </w:p>
        </w:tc>
        <w:tc>
          <w:tcPr>
            <w:tcW w:w="1716" w:type="dxa"/>
          </w:tcPr>
          <w:p w14:paraId="22FF4823" w14:textId="296A6914" w:rsidR="00237C1F" w:rsidRPr="001F03D6" w:rsidRDefault="00B36733" w:rsidP="00236423">
            <w:pPr>
              <w:jc w:val="right"/>
              <w:rPr>
                <w:rFonts w:ascii="Times New Roman" w:hAnsi="Times New Roman" w:cs="Times New Roman"/>
                <w:sz w:val="24"/>
                <w:szCs w:val="24"/>
              </w:rPr>
            </w:pPr>
            <w:r w:rsidRPr="00B36733">
              <w:rPr>
                <w:rFonts w:ascii="Times New Roman" w:hAnsi="Times New Roman" w:cs="Times New Roman"/>
                <w:sz w:val="24"/>
                <w:szCs w:val="24"/>
              </w:rPr>
              <w:t>3,161012</w:t>
            </w:r>
          </w:p>
        </w:tc>
        <w:tc>
          <w:tcPr>
            <w:tcW w:w="5477" w:type="dxa"/>
          </w:tcPr>
          <w:p w14:paraId="367F35D7" w14:textId="77777777" w:rsidR="001B1348" w:rsidRPr="001F03D6" w:rsidRDefault="003D66F7" w:rsidP="003D66F7">
            <w:pPr>
              <w:jc w:val="center"/>
              <w:rPr>
                <w:rFonts w:ascii="Times New Roman" w:hAnsi="Times New Roman" w:cs="Times New Roman"/>
                <w:b/>
                <w:sz w:val="24"/>
                <w:szCs w:val="24"/>
              </w:rPr>
            </w:pPr>
            <w:r w:rsidRPr="001F03D6">
              <w:rPr>
                <w:rFonts w:ascii="Times New Roman" w:hAnsi="Times New Roman" w:cs="Times New Roman"/>
                <w:b/>
                <w:sz w:val="24"/>
                <w:szCs w:val="24"/>
              </w:rPr>
              <w:t>Fon’un Yatırım Amacı ve Stratejisi</w:t>
            </w:r>
          </w:p>
        </w:tc>
      </w:tr>
      <w:tr w:rsidR="00E50129" w:rsidRPr="001F03D6" w14:paraId="41F7A0D8" w14:textId="77777777" w:rsidTr="00123D3D">
        <w:trPr>
          <w:trHeight w:val="272"/>
        </w:trPr>
        <w:tc>
          <w:tcPr>
            <w:tcW w:w="1823" w:type="dxa"/>
          </w:tcPr>
          <w:p w14:paraId="6903EC00" w14:textId="77777777" w:rsidR="00E50129" w:rsidRPr="001F03D6" w:rsidRDefault="00E50129" w:rsidP="00A05B08">
            <w:pPr>
              <w:rPr>
                <w:rFonts w:ascii="Times New Roman" w:hAnsi="Times New Roman" w:cs="Times New Roman"/>
                <w:sz w:val="24"/>
                <w:szCs w:val="24"/>
              </w:rPr>
            </w:pPr>
            <w:r w:rsidRPr="001F03D6">
              <w:rPr>
                <w:rFonts w:ascii="Times New Roman" w:hAnsi="Times New Roman" w:cs="Times New Roman"/>
                <w:sz w:val="24"/>
                <w:szCs w:val="24"/>
              </w:rPr>
              <w:t>Yatırımcı Sayısı</w:t>
            </w:r>
          </w:p>
        </w:tc>
        <w:tc>
          <w:tcPr>
            <w:tcW w:w="1716" w:type="dxa"/>
          </w:tcPr>
          <w:p w14:paraId="5681A160" w14:textId="64FA8D34" w:rsidR="00E50129" w:rsidRPr="001F03D6" w:rsidRDefault="00B36733" w:rsidP="003B245E">
            <w:pPr>
              <w:jc w:val="right"/>
              <w:rPr>
                <w:rFonts w:ascii="Times New Roman" w:hAnsi="Times New Roman" w:cs="Times New Roman"/>
                <w:sz w:val="24"/>
                <w:szCs w:val="24"/>
              </w:rPr>
            </w:pPr>
            <w:r>
              <w:rPr>
                <w:rFonts w:ascii="Times New Roman" w:hAnsi="Times New Roman" w:cs="Times New Roman"/>
                <w:sz w:val="24"/>
                <w:szCs w:val="24"/>
              </w:rPr>
              <w:t>281</w:t>
            </w:r>
          </w:p>
        </w:tc>
        <w:tc>
          <w:tcPr>
            <w:tcW w:w="5477" w:type="dxa"/>
            <w:vMerge w:val="restart"/>
          </w:tcPr>
          <w:p w14:paraId="68D9382E" w14:textId="77777777" w:rsidR="005273DE" w:rsidRPr="00D255FB" w:rsidRDefault="005273DE" w:rsidP="005273DE">
            <w:pPr>
              <w:tabs>
                <w:tab w:val="left" w:pos="426"/>
              </w:tabs>
              <w:contextualSpacing/>
              <w:jc w:val="both"/>
              <w:rPr>
                <w:rFonts w:ascii="Times New Roman" w:eastAsia="Times New Roman" w:hAnsi="Times New Roman"/>
                <w:b/>
                <w:sz w:val="24"/>
                <w:szCs w:val="24"/>
              </w:rPr>
            </w:pPr>
            <w:r w:rsidRPr="00D255FB">
              <w:rPr>
                <w:rFonts w:ascii="Times New Roman" w:eastAsia="Times New Roman" w:hAnsi="Times New Roman"/>
                <w:sz w:val="24"/>
                <w:szCs w:val="24"/>
              </w:rPr>
              <w:t xml:space="preserve">Fon’un yatırım stratejisi: Fon toplam değerinin en az </w:t>
            </w:r>
            <w:proofErr w:type="gramStart"/>
            <w:r w:rsidRPr="00D255FB">
              <w:rPr>
                <w:rFonts w:ascii="Times New Roman" w:eastAsia="Times New Roman" w:hAnsi="Times New Roman"/>
                <w:sz w:val="24"/>
                <w:szCs w:val="24"/>
              </w:rPr>
              <w:t>%80</w:t>
            </w:r>
            <w:proofErr w:type="gramEnd"/>
            <w:r w:rsidRPr="00D255FB">
              <w:rPr>
                <w:rFonts w:ascii="Times New Roman" w:eastAsia="Times New Roman" w:hAnsi="Times New Roman"/>
                <w:sz w:val="24"/>
                <w:szCs w:val="24"/>
              </w:rPr>
              <w:t xml:space="preserve">’i </w:t>
            </w:r>
            <w:proofErr w:type="spellStart"/>
            <w:r w:rsidRPr="00D255FB">
              <w:rPr>
                <w:rFonts w:ascii="Times New Roman" w:eastAsia="Times New Roman" w:hAnsi="Times New Roman"/>
                <w:sz w:val="24"/>
                <w:szCs w:val="24"/>
              </w:rPr>
              <w:t>BIST’te</w:t>
            </w:r>
            <w:proofErr w:type="spellEnd"/>
            <w:r w:rsidRPr="00D255FB">
              <w:rPr>
                <w:rFonts w:ascii="Times New Roman" w:eastAsia="Times New Roman" w:hAnsi="Times New Roman"/>
                <w:sz w:val="24"/>
                <w:szCs w:val="24"/>
              </w:rPr>
              <w:t xml:space="preserve"> işlem gören ve faizsiz/katılım finans ilkelerine uygunluğu onaylanmış BIST Katılım Tüm Endeksinde yer alan şirketlerin paylarına yatırılacak ve portföy yönetiminde katılım prensiplerine uygunluk esas alınacaktır.</w:t>
            </w:r>
          </w:p>
          <w:p w14:paraId="5CB99F1A" w14:textId="77777777" w:rsidR="005273DE" w:rsidRPr="00D255FB" w:rsidRDefault="005273DE" w:rsidP="005273DE">
            <w:pPr>
              <w:tabs>
                <w:tab w:val="left" w:pos="426"/>
              </w:tabs>
              <w:contextualSpacing/>
              <w:jc w:val="both"/>
              <w:rPr>
                <w:rFonts w:ascii="Times New Roman" w:eastAsia="Times New Roman" w:hAnsi="Times New Roman"/>
                <w:sz w:val="24"/>
                <w:szCs w:val="24"/>
              </w:rPr>
            </w:pPr>
            <w:r w:rsidRPr="00D255FB">
              <w:rPr>
                <w:rFonts w:ascii="Times New Roman" w:eastAsia="Times New Roman" w:hAnsi="Times New Roman"/>
                <w:sz w:val="24"/>
                <w:szCs w:val="24"/>
              </w:rPr>
              <w:t xml:space="preserve">Fon portföyünde yalnızca Türk lirası cinsinden varlıklar ve işlemler yer alacaktır. Fon portföyünde yabancı para birimi cinsinden varlık ve altın ile diğer kıymetli madenler ve bunlara dayalı sermaye piyasası araçları bulunmayacaktır. Ayrıca, fon portföyünde yabancı para birimi cinsinden varlık ve altın ile diğer kıymetli madenler ve bunlara dayalı sermaye piyasası araçlarına yönelik organize ve </w:t>
            </w:r>
            <w:proofErr w:type="spellStart"/>
            <w:r w:rsidRPr="00D255FB">
              <w:rPr>
                <w:rFonts w:ascii="Times New Roman" w:eastAsia="Times New Roman" w:hAnsi="Times New Roman"/>
                <w:sz w:val="24"/>
                <w:szCs w:val="24"/>
              </w:rPr>
              <w:t>tezgahüstü</w:t>
            </w:r>
            <w:proofErr w:type="spellEnd"/>
            <w:r w:rsidRPr="00D255FB">
              <w:rPr>
                <w:rFonts w:ascii="Times New Roman" w:eastAsia="Times New Roman" w:hAnsi="Times New Roman"/>
                <w:sz w:val="24"/>
                <w:szCs w:val="24"/>
              </w:rPr>
              <w:t xml:space="preserve"> türev araçlara yer verilmeyecektir.</w:t>
            </w:r>
          </w:p>
          <w:p w14:paraId="694B524A" w14:textId="77777777" w:rsidR="005273DE" w:rsidRPr="00D255FB" w:rsidRDefault="005273DE" w:rsidP="005273DE">
            <w:pPr>
              <w:tabs>
                <w:tab w:val="left" w:pos="426"/>
              </w:tabs>
              <w:contextualSpacing/>
              <w:jc w:val="both"/>
              <w:rPr>
                <w:rFonts w:ascii="Times New Roman" w:eastAsia="Times New Roman" w:hAnsi="Times New Roman"/>
                <w:sz w:val="24"/>
                <w:szCs w:val="24"/>
              </w:rPr>
            </w:pPr>
            <w:r w:rsidRPr="00D255FB">
              <w:rPr>
                <w:rFonts w:ascii="Times New Roman" w:eastAsia="Times New Roman" w:hAnsi="Times New Roman"/>
                <w:sz w:val="24"/>
                <w:szCs w:val="24"/>
              </w:rPr>
              <w:t>Yatırım yapılacak sermaye piyasası araçlarının seçiminde, yukarıda belirtilen sınırlamalar saklı kalmak kaydıyla, risk/getiri değerlendirmeleri sonucunda belirlenenler ve nakde dönüşümü kolay olanlar tercih edilir.</w:t>
            </w:r>
          </w:p>
          <w:p w14:paraId="773650B8" w14:textId="77777777" w:rsidR="005273DE" w:rsidRPr="00D255FB" w:rsidRDefault="005273DE" w:rsidP="005273DE">
            <w:pPr>
              <w:tabs>
                <w:tab w:val="left" w:pos="426"/>
              </w:tabs>
              <w:contextualSpacing/>
              <w:jc w:val="both"/>
              <w:rPr>
                <w:rFonts w:ascii="Times New Roman" w:eastAsia="Times New Roman" w:hAnsi="Times New Roman"/>
                <w:sz w:val="24"/>
                <w:szCs w:val="24"/>
              </w:rPr>
            </w:pPr>
            <w:r w:rsidRPr="00D255FB">
              <w:rPr>
                <w:rFonts w:ascii="Times New Roman" w:eastAsia="Times New Roman" w:hAnsi="Times New Roman"/>
                <w:bCs/>
                <w:color w:val="000000"/>
                <w:sz w:val="24"/>
                <w:szCs w:val="24"/>
              </w:rPr>
              <w:t xml:space="preserve">Fon’un hisse senedi yoğun fon olması nedeniyle </w:t>
            </w:r>
            <w:r w:rsidRPr="00D255FB">
              <w:rPr>
                <w:rFonts w:ascii="Times New Roman" w:eastAsia="Times New Roman" w:hAnsi="Times New Roman"/>
                <w:bCs/>
                <w:sz w:val="24"/>
                <w:szCs w:val="24"/>
              </w:rPr>
              <w:t xml:space="preserve">Fon portföy değerinin en az </w:t>
            </w:r>
            <w:proofErr w:type="gramStart"/>
            <w:r w:rsidRPr="00D255FB">
              <w:rPr>
                <w:rFonts w:ascii="Times New Roman" w:eastAsia="Times New Roman" w:hAnsi="Times New Roman"/>
                <w:bCs/>
                <w:sz w:val="24"/>
                <w:szCs w:val="24"/>
              </w:rPr>
              <w:t>%80</w:t>
            </w:r>
            <w:proofErr w:type="gramEnd"/>
            <w:r w:rsidRPr="00D255FB">
              <w:rPr>
                <w:rFonts w:ascii="Times New Roman" w:eastAsia="Times New Roman" w:hAnsi="Times New Roman"/>
                <w:bCs/>
                <w:sz w:val="24"/>
                <w:szCs w:val="24"/>
              </w:rPr>
              <w:t xml:space="preserve">’i </w:t>
            </w:r>
            <w:proofErr w:type="spellStart"/>
            <w:r w:rsidRPr="00D255FB">
              <w:rPr>
                <w:rFonts w:ascii="Times New Roman" w:eastAsia="Times New Roman" w:hAnsi="Times New Roman"/>
                <w:sz w:val="24"/>
                <w:szCs w:val="24"/>
              </w:rPr>
              <w:t>BIST’te</w:t>
            </w:r>
            <w:proofErr w:type="spellEnd"/>
            <w:r w:rsidRPr="00D255FB">
              <w:rPr>
                <w:rFonts w:ascii="Times New Roman" w:eastAsia="Times New Roman" w:hAnsi="Times New Roman"/>
                <w:sz w:val="24"/>
                <w:szCs w:val="24"/>
              </w:rPr>
              <w:t xml:space="preserve"> işlem gören ve faizsiz/katılım finans ilkelerine uygunluğu onaylanmış BIST Katılım Tüm Endeksinde yer alan şirketlerin paylarına yatırılacak ve portföy yönetiminde katılım prensiplerine uygunluk esas alınacaktır.</w:t>
            </w:r>
          </w:p>
          <w:p w14:paraId="60B1DC59" w14:textId="77777777" w:rsidR="005273DE" w:rsidRPr="00D255FB" w:rsidRDefault="005273DE" w:rsidP="005273DE">
            <w:pPr>
              <w:tabs>
                <w:tab w:val="left" w:pos="426"/>
              </w:tabs>
              <w:contextualSpacing/>
              <w:jc w:val="both"/>
              <w:rPr>
                <w:rFonts w:ascii="Times New Roman" w:eastAsia="Times New Roman" w:hAnsi="Times New Roman"/>
                <w:sz w:val="24"/>
                <w:szCs w:val="24"/>
              </w:rPr>
            </w:pPr>
            <w:r w:rsidRPr="00D255FB">
              <w:rPr>
                <w:rFonts w:ascii="Times New Roman" w:eastAsia="Times New Roman" w:hAnsi="Times New Roman"/>
                <w:sz w:val="24"/>
                <w:szCs w:val="24"/>
              </w:rPr>
              <w:t xml:space="preserve">Ayrıca, fon portföyüne katılma </w:t>
            </w:r>
            <w:proofErr w:type="gramStart"/>
            <w:r w:rsidRPr="00D255FB">
              <w:rPr>
                <w:rFonts w:ascii="Times New Roman" w:eastAsia="Times New Roman" w:hAnsi="Times New Roman"/>
                <w:sz w:val="24"/>
                <w:szCs w:val="24"/>
              </w:rPr>
              <w:t>hesapları,  taahhütlü</w:t>
            </w:r>
            <w:proofErr w:type="gramEnd"/>
            <w:r w:rsidRPr="00D255FB">
              <w:rPr>
                <w:rFonts w:ascii="Times New Roman" w:eastAsia="Times New Roman" w:hAnsi="Times New Roman"/>
                <w:sz w:val="24"/>
                <w:szCs w:val="24"/>
              </w:rPr>
              <w:t xml:space="preserve"> işlem pazarı işlemleri, TL bazında kamu ve özel sektör kira sertifikaları, gayrimenkul sertifikaları (TL), </w:t>
            </w:r>
            <w:r>
              <w:rPr>
                <w:rFonts w:ascii="Times New Roman" w:eastAsia="Times New Roman" w:hAnsi="Times New Roman"/>
                <w:sz w:val="24"/>
                <w:szCs w:val="24"/>
              </w:rPr>
              <w:t xml:space="preserve">unvanında (TL) ibaresi bulunan </w:t>
            </w:r>
            <w:r w:rsidRPr="00D255FB">
              <w:rPr>
                <w:rFonts w:ascii="Times New Roman" w:eastAsia="Times New Roman" w:hAnsi="Times New Roman"/>
                <w:sz w:val="24"/>
                <w:szCs w:val="24"/>
              </w:rPr>
              <w:t>katılım yatırım fonu katılma payları</w:t>
            </w:r>
            <w:r>
              <w:rPr>
                <w:rFonts w:ascii="Times New Roman" w:eastAsia="Times New Roman" w:hAnsi="Times New Roman"/>
                <w:sz w:val="24"/>
                <w:szCs w:val="24"/>
              </w:rPr>
              <w:t xml:space="preserve"> ve</w:t>
            </w:r>
            <w:r w:rsidRPr="00D255FB">
              <w:rPr>
                <w:rFonts w:ascii="Times New Roman" w:eastAsia="Times New Roman" w:hAnsi="Times New Roman"/>
                <w:sz w:val="24"/>
                <w:szCs w:val="24"/>
              </w:rPr>
              <w:t xml:space="preserve"> borsa yatırım fonu katılma payları, girişim sermayesi fonu katılma payları</w:t>
            </w:r>
            <w:r>
              <w:rPr>
                <w:rFonts w:ascii="Times New Roman" w:eastAsia="Times New Roman" w:hAnsi="Times New Roman"/>
                <w:sz w:val="24"/>
                <w:szCs w:val="24"/>
              </w:rPr>
              <w:t xml:space="preserve"> dahil edilebilir</w:t>
            </w:r>
            <w:r w:rsidRPr="00D255FB">
              <w:rPr>
                <w:rFonts w:ascii="Times New Roman" w:eastAsia="Times New Roman" w:hAnsi="Times New Roman"/>
                <w:sz w:val="24"/>
                <w:szCs w:val="24"/>
              </w:rPr>
              <w:t>.</w:t>
            </w:r>
          </w:p>
          <w:p w14:paraId="4618D6DC" w14:textId="5C6D516A" w:rsidR="00E50129" w:rsidRPr="004F3A3B" w:rsidRDefault="00E50129" w:rsidP="004F3A3B">
            <w:pPr>
              <w:jc w:val="both"/>
              <w:rPr>
                <w:rFonts w:ascii="Times New Roman" w:hAnsi="Times New Roman" w:cs="Times New Roman"/>
              </w:rPr>
            </w:pPr>
          </w:p>
        </w:tc>
      </w:tr>
      <w:tr w:rsidR="00E50129" w:rsidRPr="001F03D6" w14:paraId="1F67F208" w14:textId="77777777" w:rsidTr="00123D3D">
        <w:trPr>
          <w:trHeight w:val="546"/>
        </w:trPr>
        <w:tc>
          <w:tcPr>
            <w:tcW w:w="1823" w:type="dxa"/>
          </w:tcPr>
          <w:p w14:paraId="53E26006" w14:textId="77777777" w:rsidR="00E50129" w:rsidRPr="001F03D6" w:rsidRDefault="00E50129" w:rsidP="00A05B08">
            <w:pPr>
              <w:rPr>
                <w:rFonts w:ascii="Times New Roman" w:hAnsi="Times New Roman" w:cs="Times New Roman"/>
                <w:sz w:val="24"/>
                <w:szCs w:val="24"/>
              </w:rPr>
            </w:pPr>
            <w:r w:rsidRPr="001F03D6">
              <w:rPr>
                <w:rFonts w:ascii="Times New Roman" w:hAnsi="Times New Roman" w:cs="Times New Roman"/>
                <w:sz w:val="24"/>
                <w:szCs w:val="24"/>
              </w:rPr>
              <w:t>Tedavül Oranı (%)</w:t>
            </w:r>
          </w:p>
        </w:tc>
        <w:tc>
          <w:tcPr>
            <w:tcW w:w="1716" w:type="dxa"/>
          </w:tcPr>
          <w:p w14:paraId="2E8AB30D" w14:textId="0BDC0816" w:rsidR="00E50129" w:rsidRPr="001F03D6" w:rsidRDefault="009E5C11" w:rsidP="00236423">
            <w:pPr>
              <w:jc w:val="right"/>
              <w:rPr>
                <w:rFonts w:ascii="Times New Roman" w:hAnsi="Times New Roman" w:cs="Times New Roman"/>
                <w:sz w:val="24"/>
                <w:szCs w:val="24"/>
              </w:rPr>
            </w:pPr>
            <w:r>
              <w:rPr>
                <w:rFonts w:ascii="Times New Roman" w:hAnsi="Times New Roman" w:cs="Times New Roman"/>
                <w:sz w:val="24"/>
                <w:szCs w:val="24"/>
              </w:rPr>
              <w:t>3,65</w:t>
            </w:r>
          </w:p>
        </w:tc>
        <w:tc>
          <w:tcPr>
            <w:tcW w:w="5477" w:type="dxa"/>
            <w:vMerge/>
          </w:tcPr>
          <w:p w14:paraId="1A03D0A4" w14:textId="77777777" w:rsidR="00E50129" w:rsidRPr="001F03D6" w:rsidRDefault="00E50129" w:rsidP="00E50129">
            <w:pPr>
              <w:jc w:val="both"/>
              <w:rPr>
                <w:rFonts w:ascii="Times New Roman" w:hAnsi="Times New Roman" w:cs="Times New Roman"/>
                <w:sz w:val="24"/>
                <w:szCs w:val="24"/>
              </w:rPr>
            </w:pPr>
          </w:p>
        </w:tc>
      </w:tr>
      <w:tr w:rsidR="00E50129" w:rsidRPr="001F03D6" w14:paraId="1F1227F2" w14:textId="77777777" w:rsidTr="00123D3D">
        <w:trPr>
          <w:trHeight w:val="272"/>
        </w:trPr>
        <w:tc>
          <w:tcPr>
            <w:tcW w:w="3539" w:type="dxa"/>
            <w:gridSpan w:val="2"/>
          </w:tcPr>
          <w:p w14:paraId="71BCD733" w14:textId="77777777" w:rsidR="00E50129" w:rsidRPr="001F03D6" w:rsidRDefault="00E50129" w:rsidP="003D66F7">
            <w:pPr>
              <w:jc w:val="center"/>
              <w:rPr>
                <w:rFonts w:ascii="Times New Roman" w:hAnsi="Times New Roman" w:cs="Times New Roman"/>
                <w:b/>
                <w:sz w:val="24"/>
                <w:szCs w:val="24"/>
              </w:rPr>
            </w:pPr>
            <w:r w:rsidRPr="001F03D6">
              <w:rPr>
                <w:rFonts w:ascii="Times New Roman" w:hAnsi="Times New Roman" w:cs="Times New Roman"/>
                <w:b/>
                <w:sz w:val="24"/>
                <w:szCs w:val="24"/>
              </w:rPr>
              <w:t>Portföy Dağılımı (%)</w:t>
            </w:r>
          </w:p>
        </w:tc>
        <w:tc>
          <w:tcPr>
            <w:tcW w:w="5477" w:type="dxa"/>
            <w:vMerge/>
          </w:tcPr>
          <w:p w14:paraId="7498A580" w14:textId="77777777" w:rsidR="00E50129" w:rsidRPr="001F03D6" w:rsidRDefault="00E50129" w:rsidP="00E50129">
            <w:pPr>
              <w:jc w:val="both"/>
              <w:rPr>
                <w:rFonts w:ascii="Times New Roman" w:hAnsi="Times New Roman" w:cs="Times New Roman"/>
                <w:sz w:val="24"/>
                <w:szCs w:val="24"/>
              </w:rPr>
            </w:pPr>
          </w:p>
        </w:tc>
      </w:tr>
      <w:tr w:rsidR="00F70D62" w:rsidRPr="001F03D6" w14:paraId="1F33CD0F" w14:textId="77777777" w:rsidTr="00123D3D">
        <w:trPr>
          <w:trHeight w:val="326"/>
        </w:trPr>
        <w:tc>
          <w:tcPr>
            <w:tcW w:w="1823" w:type="dxa"/>
            <w:tcBorders>
              <w:bottom w:val="single" w:sz="4" w:space="0" w:color="auto"/>
            </w:tcBorders>
          </w:tcPr>
          <w:p w14:paraId="555588A9" w14:textId="0F116B1C" w:rsidR="00F70D62" w:rsidRPr="001F03D6" w:rsidRDefault="00806F20" w:rsidP="00AF3A9D">
            <w:pPr>
              <w:rPr>
                <w:rFonts w:ascii="Times New Roman" w:hAnsi="Times New Roman" w:cs="Times New Roman"/>
                <w:sz w:val="24"/>
                <w:szCs w:val="24"/>
              </w:rPr>
            </w:pPr>
            <w:r w:rsidRPr="001F03D6">
              <w:rPr>
                <w:rFonts w:ascii="Times New Roman" w:hAnsi="Times New Roman" w:cs="Times New Roman"/>
                <w:noProof/>
                <w:color w:val="000000" w:themeColor="text1"/>
                <w:sz w:val="24"/>
                <w:szCs w:val="24"/>
              </w:rPr>
              <mc:AlternateContent>
                <mc:Choice Requires="wps">
                  <w:drawing>
                    <wp:anchor distT="0" distB="0" distL="114300" distR="114300" simplePos="0" relativeHeight="251658752"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52267" id="Düz Bağlayıcı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5273DE">
              <w:rPr>
                <w:rFonts w:ascii="Times New Roman" w:hAnsi="Times New Roman" w:cs="Times New Roman"/>
                <w:sz w:val="24"/>
                <w:szCs w:val="24"/>
              </w:rPr>
              <w:t>Paylar</w:t>
            </w:r>
          </w:p>
        </w:tc>
        <w:tc>
          <w:tcPr>
            <w:tcW w:w="1716" w:type="dxa"/>
            <w:tcBorders>
              <w:bottom w:val="single" w:sz="4" w:space="0" w:color="auto"/>
            </w:tcBorders>
          </w:tcPr>
          <w:p w14:paraId="4D68AB1D" w14:textId="21C25982" w:rsidR="00F70D62" w:rsidRPr="001F03D6" w:rsidRDefault="0095170D" w:rsidP="00333E5D">
            <w:pPr>
              <w:jc w:val="right"/>
              <w:rPr>
                <w:rFonts w:ascii="Times New Roman" w:hAnsi="Times New Roman" w:cs="Times New Roman"/>
                <w:sz w:val="24"/>
                <w:szCs w:val="24"/>
              </w:rPr>
            </w:pPr>
            <w:r>
              <w:rPr>
                <w:rFonts w:ascii="Times New Roman" w:hAnsi="Times New Roman" w:cs="Times New Roman"/>
                <w:sz w:val="24"/>
                <w:szCs w:val="24"/>
              </w:rPr>
              <w:t>95,37</w:t>
            </w:r>
            <w:r w:rsidR="00123D3D" w:rsidRPr="00123D3D">
              <w:rPr>
                <w:rFonts w:ascii="Times New Roman" w:hAnsi="Times New Roman" w:cs="Times New Roman"/>
                <w:sz w:val="24"/>
                <w:szCs w:val="24"/>
              </w:rPr>
              <w:tab/>
            </w:r>
          </w:p>
        </w:tc>
        <w:tc>
          <w:tcPr>
            <w:tcW w:w="5477" w:type="dxa"/>
            <w:vMerge/>
          </w:tcPr>
          <w:p w14:paraId="43794AB5" w14:textId="77777777" w:rsidR="00F70D62" w:rsidRPr="001F03D6" w:rsidRDefault="00F70D62" w:rsidP="00AF3A9D">
            <w:pPr>
              <w:rPr>
                <w:rFonts w:ascii="Times New Roman" w:hAnsi="Times New Roman" w:cs="Times New Roman"/>
                <w:sz w:val="24"/>
                <w:szCs w:val="24"/>
              </w:rPr>
            </w:pPr>
          </w:p>
        </w:tc>
      </w:tr>
      <w:tr w:rsidR="00123D3D" w:rsidRPr="001F03D6" w14:paraId="21D0FAB7" w14:textId="77777777" w:rsidTr="00123D3D">
        <w:trPr>
          <w:trHeight w:val="326"/>
        </w:trPr>
        <w:tc>
          <w:tcPr>
            <w:tcW w:w="1823" w:type="dxa"/>
            <w:tcBorders>
              <w:bottom w:val="single" w:sz="4" w:space="0" w:color="auto"/>
            </w:tcBorders>
          </w:tcPr>
          <w:p w14:paraId="5ADBCAED" w14:textId="07F606F6" w:rsidR="00123D3D" w:rsidRPr="001F03D6" w:rsidRDefault="00333E5D" w:rsidP="00AF3A9D">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Katılma Hesabı</w:t>
            </w:r>
          </w:p>
        </w:tc>
        <w:tc>
          <w:tcPr>
            <w:tcW w:w="1716" w:type="dxa"/>
            <w:tcBorders>
              <w:bottom w:val="single" w:sz="4" w:space="0" w:color="auto"/>
            </w:tcBorders>
          </w:tcPr>
          <w:p w14:paraId="3D04D597" w14:textId="14DAAF8C" w:rsidR="00123D3D" w:rsidRPr="00123D3D" w:rsidRDefault="00333E5D" w:rsidP="00333E5D">
            <w:pPr>
              <w:jc w:val="right"/>
              <w:rPr>
                <w:rFonts w:ascii="Times New Roman" w:hAnsi="Times New Roman" w:cs="Times New Roman"/>
                <w:sz w:val="24"/>
                <w:szCs w:val="24"/>
              </w:rPr>
            </w:pPr>
            <w:r>
              <w:rPr>
                <w:rFonts w:ascii="Times New Roman" w:hAnsi="Times New Roman" w:cs="Times New Roman"/>
                <w:sz w:val="24"/>
                <w:szCs w:val="24"/>
              </w:rPr>
              <w:t>4,63</w:t>
            </w:r>
          </w:p>
        </w:tc>
        <w:tc>
          <w:tcPr>
            <w:tcW w:w="5477" w:type="dxa"/>
            <w:vMerge/>
          </w:tcPr>
          <w:p w14:paraId="7D82E67B" w14:textId="77777777" w:rsidR="00123D3D" w:rsidRPr="001F03D6" w:rsidRDefault="00123D3D" w:rsidP="00AF3A9D">
            <w:pPr>
              <w:rPr>
                <w:rFonts w:ascii="Times New Roman" w:hAnsi="Times New Roman" w:cs="Times New Roman"/>
                <w:sz w:val="24"/>
                <w:szCs w:val="24"/>
              </w:rPr>
            </w:pPr>
          </w:p>
        </w:tc>
      </w:tr>
      <w:tr w:rsidR="00E50129" w:rsidRPr="001F03D6" w14:paraId="2C140DCB" w14:textId="77777777" w:rsidTr="00123D3D">
        <w:trPr>
          <w:trHeight w:val="484"/>
        </w:trPr>
        <w:tc>
          <w:tcPr>
            <w:tcW w:w="1823" w:type="dxa"/>
            <w:tcBorders>
              <w:top w:val="nil"/>
              <w:left w:val="single" w:sz="4" w:space="0" w:color="auto"/>
              <w:bottom w:val="nil"/>
              <w:right w:val="nil"/>
            </w:tcBorders>
          </w:tcPr>
          <w:p w14:paraId="576813CE" w14:textId="08D562DB" w:rsidR="0023421B" w:rsidRPr="001F03D6" w:rsidRDefault="0023421B" w:rsidP="00806F20">
            <w:pPr>
              <w:rPr>
                <w:rFonts w:ascii="Times New Roman" w:hAnsi="Times New Roman" w:cs="Times New Roman"/>
                <w:color w:val="000000"/>
                <w:sz w:val="24"/>
                <w:szCs w:val="24"/>
                <w:u w:val="single"/>
              </w:rPr>
            </w:pPr>
          </w:p>
          <w:p w14:paraId="70218834" w14:textId="1FEED5C2" w:rsidR="00E50129" w:rsidRPr="001F03D6"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1F03D6"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1F03D6" w:rsidRDefault="00E50129" w:rsidP="00A05B08">
            <w:pPr>
              <w:rPr>
                <w:rFonts w:ascii="Times New Roman" w:hAnsi="Times New Roman" w:cs="Times New Roman"/>
                <w:sz w:val="24"/>
                <w:szCs w:val="24"/>
              </w:rPr>
            </w:pPr>
          </w:p>
        </w:tc>
      </w:tr>
      <w:tr w:rsidR="00D52CC0" w:rsidRPr="001F03D6" w14:paraId="01C9D9AB" w14:textId="77777777" w:rsidTr="00123D3D">
        <w:trPr>
          <w:trHeight w:val="272"/>
        </w:trPr>
        <w:tc>
          <w:tcPr>
            <w:tcW w:w="9016" w:type="dxa"/>
            <w:gridSpan w:val="3"/>
          </w:tcPr>
          <w:p w14:paraId="1861FA3E" w14:textId="1CC6D1C6" w:rsidR="00D52CC0" w:rsidRPr="001F03D6" w:rsidRDefault="00D52CC0" w:rsidP="00D52CC0">
            <w:pPr>
              <w:jc w:val="center"/>
              <w:rPr>
                <w:rFonts w:ascii="Times New Roman" w:hAnsi="Times New Roman" w:cs="Times New Roman"/>
                <w:sz w:val="24"/>
                <w:szCs w:val="24"/>
              </w:rPr>
            </w:pPr>
            <w:r w:rsidRPr="001F03D6">
              <w:rPr>
                <w:rFonts w:ascii="Times New Roman" w:hAnsi="Times New Roman" w:cs="Times New Roman"/>
                <w:sz w:val="24"/>
                <w:szCs w:val="24"/>
              </w:rPr>
              <w:t xml:space="preserve">En Az Alınabilir Pay </w:t>
            </w:r>
            <w:r w:rsidR="00A17399" w:rsidRPr="001F03D6">
              <w:rPr>
                <w:rFonts w:ascii="Times New Roman" w:hAnsi="Times New Roman" w:cs="Times New Roman"/>
                <w:sz w:val="24"/>
                <w:szCs w:val="24"/>
              </w:rPr>
              <w:t>Adedi:</w:t>
            </w:r>
            <w:r w:rsidRPr="001F03D6">
              <w:rPr>
                <w:rFonts w:ascii="Times New Roman" w:hAnsi="Times New Roman" w:cs="Times New Roman"/>
                <w:sz w:val="24"/>
                <w:szCs w:val="24"/>
              </w:rPr>
              <w:t xml:space="preserve"> 1 Adet</w:t>
            </w:r>
          </w:p>
        </w:tc>
      </w:tr>
    </w:tbl>
    <w:p w14:paraId="2312CCC3" w14:textId="77777777" w:rsidR="00106889" w:rsidRDefault="00106889" w:rsidP="00621CF3">
      <w:pPr>
        <w:spacing w:after="0"/>
        <w:jc w:val="center"/>
        <w:rPr>
          <w:rFonts w:ascii="Times New Roman" w:hAnsi="Times New Roman" w:cs="Times New Roman"/>
          <w:sz w:val="24"/>
          <w:szCs w:val="24"/>
        </w:rPr>
      </w:pPr>
    </w:p>
    <w:p w14:paraId="55C89A2A" w14:textId="77777777" w:rsidR="005273DE" w:rsidRDefault="005273DE" w:rsidP="00621CF3">
      <w:pPr>
        <w:spacing w:after="0"/>
        <w:jc w:val="center"/>
        <w:rPr>
          <w:rFonts w:ascii="Times New Roman" w:hAnsi="Times New Roman" w:cs="Times New Roman"/>
          <w:sz w:val="24"/>
          <w:szCs w:val="24"/>
        </w:rPr>
      </w:pPr>
    </w:p>
    <w:p w14:paraId="268FDF66" w14:textId="77777777" w:rsidR="005273DE" w:rsidRDefault="005273DE" w:rsidP="00621CF3">
      <w:pPr>
        <w:spacing w:after="0"/>
        <w:jc w:val="center"/>
        <w:rPr>
          <w:rFonts w:ascii="Times New Roman" w:hAnsi="Times New Roman" w:cs="Times New Roman"/>
          <w:sz w:val="24"/>
          <w:szCs w:val="24"/>
        </w:rPr>
      </w:pPr>
    </w:p>
    <w:p w14:paraId="7C1EACA2" w14:textId="77777777" w:rsidR="005273DE" w:rsidRDefault="005273DE" w:rsidP="00621CF3">
      <w:pPr>
        <w:spacing w:after="0"/>
        <w:jc w:val="center"/>
        <w:rPr>
          <w:rFonts w:ascii="Times New Roman" w:hAnsi="Times New Roman" w:cs="Times New Roman"/>
          <w:sz w:val="24"/>
          <w:szCs w:val="24"/>
        </w:rPr>
      </w:pPr>
    </w:p>
    <w:p w14:paraId="6E0F3800" w14:textId="77777777" w:rsidR="005273DE" w:rsidRDefault="005273DE" w:rsidP="00621CF3">
      <w:pPr>
        <w:spacing w:after="0"/>
        <w:jc w:val="center"/>
        <w:rPr>
          <w:rFonts w:ascii="Times New Roman" w:hAnsi="Times New Roman" w:cs="Times New Roman"/>
          <w:sz w:val="24"/>
          <w:szCs w:val="24"/>
        </w:rPr>
      </w:pPr>
    </w:p>
    <w:p w14:paraId="23461D99" w14:textId="77777777" w:rsidR="00973E09" w:rsidRDefault="00973E09" w:rsidP="00973E09">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PERFORMANS BİLGİSİ</w:t>
      </w:r>
    </w:p>
    <w:tbl>
      <w:tblPr>
        <w:tblW w:w="8795" w:type="dxa"/>
        <w:tblInd w:w="75" w:type="dxa"/>
        <w:tblCellMar>
          <w:left w:w="70" w:type="dxa"/>
          <w:right w:w="70" w:type="dxa"/>
        </w:tblCellMar>
        <w:tblLook w:val="04A0" w:firstRow="1" w:lastRow="0" w:firstColumn="1" w:lastColumn="0" w:noHBand="0" w:noVBand="1"/>
      </w:tblPr>
      <w:tblGrid>
        <w:gridCol w:w="770"/>
        <w:gridCol w:w="745"/>
        <w:gridCol w:w="1239"/>
        <w:gridCol w:w="1011"/>
        <w:gridCol w:w="1163"/>
        <w:gridCol w:w="1681"/>
        <w:gridCol w:w="783"/>
        <w:gridCol w:w="1403"/>
      </w:tblGrid>
      <w:tr w:rsidR="00346D5D" w:rsidRPr="00346D5D" w14:paraId="00BBF47A" w14:textId="77777777" w:rsidTr="00346D5D">
        <w:trPr>
          <w:trHeight w:val="661"/>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8D74F"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Yıllar</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0B48B4C3"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Toplam Getiri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7F4B661E"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Karşılaştırma Ölçütünün Getirisi / Eşik Değer (%)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A997F78"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346D5D">
              <w:rPr>
                <w:rFonts w:ascii="Times New Roman" w:eastAsia="Times New Roman" w:hAnsi="Times New Roman" w:cs="Times New Roman"/>
                <w:b/>
                <w:bCs/>
                <w:color w:val="000000"/>
                <w:sz w:val="18"/>
                <w:szCs w:val="18"/>
                <w:lang w:eastAsia="tr-TR"/>
              </w:rPr>
              <w:t>Üfe</w:t>
            </w:r>
            <w:proofErr w:type="spellEnd"/>
            <w:r w:rsidRPr="00346D5D">
              <w:rPr>
                <w:rFonts w:ascii="Times New Roman" w:eastAsia="Times New Roman" w:hAnsi="Times New Roman" w:cs="Times New Roman"/>
                <w:b/>
                <w:bCs/>
                <w:color w:val="000000"/>
                <w:sz w:val="18"/>
                <w:szCs w:val="18"/>
                <w:lang w:eastAsia="tr-TR"/>
              </w:rPr>
              <w:t xml:space="preserve"> Enflasyon Oranı (%) (**)</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3DBBC7BB"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Portföyün Zaman İçinde Standart Sapması (%)</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67EA200E"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Karşılaştırma Ölçütünün Standart Sapması (%)</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1BDCB219"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Bilgi Rasyosu</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7CA929F7"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Sunuma Dahil Dönem Sonu Portföyün Toplam Değeri</w:t>
            </w:r>
          </w:p>
        </w:tc>
      </w:tr>
      <w:tr w:rsidR="00346D5D" w:rsidRPr="00346D5D" w14:paraId="42AEB805" w14:textId="77777777" w:rsidTr="00346D5D">
        <w:trPr>
          <w:trHeight w:val="289"/>
        </w:trPr>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59E96A8"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2023</w:t>
            </w:r>
          </w:p>
        </w:tc>
        <w:tc>
          <w:tcPr>
            <w:tcW w:w="745" w:type="dxa"/>
            <w:tcBorders>
              <w:top w:val="nil"/>
              <w:left w:val="nil"/>
              <w:bottom w:val="single" w:sz="4" w:space="0" w:color="auto"/>
              <w:right w:val="single" w:sz="4" w:space="0" w:color="auto"/>
            </w:tcBorders>
            <w:shd w:val="clear" w:color="auto" w:fill="auto"/>
            <w:noWrap/>
            <w:vAlign w:val="center"/>
            <w:hideMark/>
          </w:tcPr>
          <w:p w14:paraId="7006768F"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105,24</w:t>
            </w:r>
          </w:p>
        </w:tc>
        <w:tc>
          <w:tcPr>
            <w:tcW w:w="1239" w:type="dxa"/>
            <w:tcBorders>
              <w:top w:val="nil"/>
              <w:left w:val="nil"/>
              <w:bottom w:val="single" w:sz="4" w:space="0" w:color="auto"/>
              <w:right w:val="single" w:sz="4" w:space="0" w:color="auto"/>
            </w:tcBorders>
            <w:shd w:val="clear" w:color="auto" w:fill="auto"/>
            <w:noWrap/>
            <w:vAlign w:val="center"/>
            <w:hideMark/>
          </w:tcPr>
          <w:p w14:paraId="42FF34D9"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13,141</w:t>
            </w:r>
          </w:p>
        </w:tc>
        <w:tc>
          <w:tcPr>
            <w:tcW w:w="1011" w:type="dxa"/>
            <w:tcBorders>
              <w:top w:val="nil"/>
              <w:left w:val="nil"/>
              <w:bottom w:val="single" w:sz="4" w:space="0" w:color="auto"/>
              <w:right w:val="single" w:sz="4" w:space="0" w:color="auto"/>
            </w:tcBorders>
            <w:shd w:val="clear" w:color="auto" w:fill="auto"/>
            <w:noWrap/>
            <w:vAlign w:val="center"/>
            <w:hideMark/>
          </w:tcPr>
          <w:p w14:paraId="539B4E0F"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16,06</w:t>
            </w:r>
          </w:p>
        </w:tc>
        <w:tc>
          <w:tcPr>
            <w:tcW w:w="1163" w:type="dxa"/>
            <w:tcBorders>
              <w:top w:val="nil"/>
              <w:left w:val="nil"/>
              <w:bottom w:val="single" w:sz="4" w:space="0" w:color="auto"/>
              <w:right w:val="single" w:sz="4" w:space="0" w:color="auto"/>
            </w:tcBorders>
            <w:shd w:val="clear" w:color="auto" w:fill="auto"/>
            <w:noWrap/>
            <w:vAlign w:val="center"/>
            <w:hideMark/>
          </w:tcPr>
          <w:p w14:paraId="080E7E81"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2,43</w:t>
            </w:r>
          </w:p>
        </w:tc>
        <w:tc>
          <w:tcPr>
            <w:tcW w:w="1706" w:type="dxa"/>
            <w:tcBorders>
              <w:top w:val="nil"/>
              <w:left w:val="nil"/>
              <w:bottom w:val="single" w:sz="4" w:space="0" w:color="auto"/>
              <w:right w:val="single" w:sz="4" w:space="0" w:color="auto"/>
            </w:tcBorders>
            <w:shd w:val="clear" w:color="auto" w:fill="auto"/>
            <w:vAlign w:val="center"/>
            <w:hideMark/>
          </w:tcPr>
          <w:p w14:paraId="2F17C14E"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0,060</w:t>
            </w:r>
          </w:p>
        </w:tc>
        <w:tc>
          <w:tcPr>
            <w:tcW w:w="783" w:type="dxa"/>
            <w:tcBorders>
              <w:top w:val="nil"/>
              <w:left w:val="nil"/>
              <w:bottom w:val="single" w:sz="4" w:space="0" w:color="auto"/>
              <w:right w:val="single" w:sz="4" w:space="0" w:color="auto"/>
            </w:tcBorders>
            <w:shd w:val="clear" w:color="auto" w:fill="auto"/>
            <w:noWrap/>
            <w:vAlign w:val="center"/>
            <w:hideMark/>
          </w:tcPr>
          <w:p w14:paraId="3D5F87C8"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0,45</w:t>
            </w:r>
          </w:p>
        </w:tc>
        <w:tc>
          <w:tcPr>
            <w:tcW w:w="1403" w:type="dxa"/>
            <w:tcBorders>
              <w:top w:val="nil"/>
              <w:left w:val="nil"/>
              <w:bottom w:val="single" w:sz="4" w:space="0" w:color="auto"/>
              <w:right w:val="single" w:sz="4" w:space="0" w:color="auto"/>
            </w:tcBorders>
            <w:shd w:val="clear" w:color="auto" w:fill="auto"/>
            <w:noWrap/>
            <w:vAlign w:val="center"/>
            <w:hideMark/>
          </w:tcPr>
          <w:p w14:paraId="14E8D136"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281.452.570,33</w:t>
            </w:r>
          </w:p>
        </w:tc>
      </w:tr>
      <w:tr w:rsidR="00346D5D" w:rsidRPr="00346D5D" w14:paraId="372D3A87" w14:textId="77777777" w:rsidTr="00346D5D">
        <w:trPr>
          <w:trHeight w:val="289"/>
        </w:trPr>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3D66285" w14:textId="6B0A245B"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45" w:type="dxa"/>
            <w:tcBorders>
              <w:top w:val="nil"/>
              <w:left w:val="nil"/>
              <w:bottom w:val="single" w:sz="4" w:space="0" w:color="auto"/>
              <w:right w:val="single" w:sz="4" w:space="0" w:color="auto"/>
            </w:tcBorders>
            <w:shd w:val="clear" w:color="auto" w:fill="auto"/>
            <w:noWrap/>
            <w:vAlign w:val="center"/>
            <w:hideMark/>
          </w:tcPr>
          <w:p w14:paraId="128E65D4"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54,01</w:t>
            </w:r>
          </w:p>
        </w:tc>
        <w:tc>
          <w:tcPr>
            <w:tcW w:w="1239" w:type="dxa"/>
            <w:tcBorders>
              <w:top w:val="nil"/>
              <w:left w:val="nil"/>
              <w:bottom w:val="single" w:sz="4" w:space="0" w:color="auto"/>
              <w:right w:val="single" w:sz="4" w:space="0" w:color="auto"/>
            </w:tcBorders>
            <w:shd w:val="clear" w:color="auto" w:fill="auto"/>
            <w:noWrap/>
            <w:vAlign w:val="center"/>
            <w:hideMark/>
          </w:tcPr>
          <w:p w14:paraId="7BE543DD"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33,517</w:t>
            </w:r>
          </w:p>
        </w:tc>
        <w:tc>
          <w:tcPr>
            <w:tcW w:w="1011" w:type="dxa"/>
            <w:tcBorders>
              <w:top w:val="nil"/>
              <w:left w:val="nil"/>
              <w:bottom w:val="single" w:sz="4" w:space="0" w:color="auto"/>
              <w:right w:val="single" w:sz="4" w:space="0" w:color="auto"/>
            </w:tcBorders>
            <w:shd w:val="clear" w:color="auto" w:fill="auto"/>
            <w:noWrap/>
            <w:vAlign w:val="center"/>
            <w:hideMark/>
          </w:tcPr>
          <w:p w14:paraId="25696AED"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19,49</w:t>
            </w:r>
          </w:p>
        </w:tc>
        <w:tc>
          <w:tcPr>
            <w:tcW w:w="1163" w:type="dxa"/>
            <w:tcBorders>
              <w:top w:val="nil"/>
              <w:left w:val="nil"/>
              <w:bottom w:val="single" w:sz="4" w:space="0" w:color="auto"/>
              <w:right w:val="single" w:sz="4" w:space="0" w:color="auto"/>
            </w:tcBorders>
            <w:shd w:val="clear" w:color="auto" w:fill="auto"/>
            <w:noWrap/>
            <w:vAlign w:val="center"/>
            <w:hideMark/>
          </w:tcPr>
          <w:p w14:paraId="5837C077"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1,89</w:t>
            </w:r>
          </w:p>
        </w:tc>
        <w:tc>
          <w:tcPr>
            <w:tcW w:w="1706" w:type="dxa"/>
            <w:tcBorders>
              <w:top w:val="nil"/>
              <w:left w:val="nil"/>
              <w:bottom w:val="single" w:sz="4" w:space="0" w:color="auto"/>
              <w:right w:val="single" w:sz="4" w:space="0" w:color="auto"/>
            </w:tcBorders>
            <w:shd w:val="clear" w:color="auto" w:fill="auto"/>
            <w:vAlign w:val="center"/>
            <w:hideMark/>
          </w:tcPr>
          <w:p w14:paraId="6DDF822C"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1,315</w:t>
            </w:r>
          </w:p>
        </w:tc>
        <w:tc>
          <w:tcPr>
            <w:tcW w:w="783" w:type="dxa"/>
            <w:tcBorders>
              <w:top w:val="nil"/>
              <w:left w:val="nil"/>
              <w:bottom w:val="single" w:sz="4" w:space="0" w:color="auto"/>
              <w:right w:val="single" w:sz="4" w:space="0" w:color="auto"/>
            </w:tcBorders>
            <w:shd w:val="clear" w:color="auto" w:fill="auto"/>
            <w:noWrap/>
            <w:vAlign w:val="center"/>
            <w:hideMark/>
          </w:tcPr>
          <w:p w14:paraId="3291D63C"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0,13</w:t>
            </w:r>
          </w:p>
        </w:tc>
        <w:tc>
          <w:tcPr>
            <w:tcW w:w="1403" w:type="dxa"/>
            <w:tcBorders>
              <w:top w:val="nil"/>
              <w:left w:val="nil"/>
              <w:bottom w:val="single" w:sz="4" w:space="0" w:color="auto"/>
              <w:right w:val="single" w:sz="4" w:space="0" w:color="auto"/>
            </w:tcBorders>
            <w:shd w:val="clear" w:color="auto" w:fill="auto"/>
            <w:noWrap/>
            <w:vAlign w:val="center"/>
            <w:hideMark/>
          </w:tcPr>
          <w:p w14:paraId="1FD48634" w14:textId="77777777" w:rsidR="00346D5D" w:rsidRPr="00346D5D" w:rsidRDefault="00346D5D" w:rsidP="00346D5D">
            <w:pPr>
              <w:spacing w:after="0" w:line="240" w:lineRule="auto"/>
              <w:jc w:val="center"/>
              <w:rPr>
                <w:rFonts w:ascii="Times New Roman" w:eastAsia="Times New Roman" w:hAnsi="Times New Roman" w:cs="Times New Roman"/>
                <w:b/>
                <w:bCs/>
                <w:color w:val="000000"/>
                <w:sz w:val="18"/>
                <w:szCs w:val="18"/>
                <w:lang w:eastAsia="tr-TR"/>
              </w:rPr>
            </w:pPr>
            <w:r w:rsidRPr="00346D5D">
              <w:rPr>
                <w:rFonts w:ascii="Times New Roman" w:eastAsia="Times New Roman" w:hAnsi="Times New Roman" w:cs="Times New Roman"/>
                <w:b/>
                <w:bCs/>
                <w:color w:val="000000"/>
                <w:sz w:val="18"/>
                <w:szCs w:val="18"/>
                <w:lang w:eastAsia="tr-TR"/>
              </w:rPr>
              <w:t>577.450.006,59</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43635765" w:rsidR="00621CF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 xml:space="preserve">: </w:t>
      </w:r>
      <w:proofErr w:type="gramStart"/>
      <w:r w:rsidR="007D02FE">
        <w:rPr>
          <w:rFonts w:ascii="Times New Roman" w:hAnsi="Times New Roman" w:cs="Times New Roman"/>
          <w:sz w:val="24"/>
          <w:szCs w:val="24"/>
        </w:rPr>
        <w:t>%80</w:t>
      </w:r>
      <w:proofErr w:type="gramEnd"/>
      <w:r w:rsidR="007D02FE">
        <w:rPr>
          <w:rFonts w:ascii="Times New Roman" w:hAnsi="Times New Roman" w:cs="Times New Roman"/>
          <w:sz w:val="24"/>
          <w:szCs w:val="24"/>
        </w:rPr>
        <w:t xml:space="preserve"> BIST Katılım 100 Getiri Endeksi+</w:t>
      </w:r>
      <w:r w:rsidR="007D02FE" w:rsidRPr="00BF54DE">
        <w:rPr>
          <w:rFonts w:ascii="Times New Roman" w:hAnsi="Times New Roman" w:cs="Times New Roman"/>
          <w:sz w:val="24"/>
          <w:szCs w:val="24"/>
        </w:rPr>
        <w:t xml:space="preserve"> </w:t>
      </w:r>
      <w:r w:rsidR="007D02FE">
        <w:rPr>
          <w:rFonts w:ascii="Times New Roman" w:hAnsi="Times New Roman" w:cs="Times New Roman"/>
          <w:sz w:val="24"/>
          <w:szCs w:val="24"/>
        </w:rPr>
        <w:t xml:space="preserve">%20 BIST KYD 1 Aylık Kar Payı TL </w:t>
      </w:r>
      <w:r w:rsidR="005273DE">
        <w:rPr>
          <w:rFonts w:ascii="Times New Roman" w:hAnsi="Times New Roman" w:cs="Times New Roman"/>
          <w:sz w:val="24"/>
          <w:szCs w:val="24"/>
        </w:rPr>
        <w:t>Endeksi</w:t>
      </w:r>
      <w:r>
        <w:rPr>
          <w:rFonts w:ascii="Times New Roman" w:hAnsi="Times New Roman" w:cs="Times New Roman"/>
          <w:sz w:val="24"/>
          <w:szCs w:val="24"/>
        </w:rPr>
        <w:t>.</w:t>
      </w:r>
    </w:p>
    <w:p w14:paraId="74CD0119" w14:textId="78F0C73C"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7E2D28">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69E1A96A" w14:textId="447A14DC" w:rsidR="00BC4211" w:rsidRDefault="005F5413" w:rsidP="006A1BA4">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w:t>
      </w:r>
      <w:r w:rsidR="008E08A1">
        <w:rPr>
          <w:rFonts w:ascii="Times New Roman" w:hAnsi="Times New Roman" w:cs="Times New Roman"/>
          <w:sz w:val="24"/>
          <w:szCs w:val="24"/>
        </w:rPr>
        <w:t>0</w:t>
      </w:r>
      <w:r w:rsidR="00FD02A3">
        <w:rPr>
          <w:rFonts w:ascii="Times New Roman" w:hAnsi="Times New Roman" w:cs="Times New Roman"/>
          <w:sz w:val="24"/>
          <w:szCs w:val="24"/>
        </w:rPr>
        <w:t>1</w:t>
      </w:r>
      <w:r w:rsidR="008E08A1">
        <w:rPr>
          <w:rFonts w:ascii="Times New Roman" w:hAnsi="Times New Roman" w:cs="Times New Roman"/>
          <w:sz w:val="24"/>
          <w:szCs w:val="24"/>
        </w:rPr>
        <w:t>.0</w:t>
      </w:r>
      <w:r w:rsidR="00FD02A3">
        <w:rPr>
          <w:rFonts w:ascii="Times New Roman" w:hAnsi="Times New Roman" w:cs="Times New Roman"/>
          <w:sz w:val="24"/>
          <w:szCs w:val="24"/>
        </w:rPr>
        <w:t>1</w:t>
      </w:r>
      <w:r w:rsidR="008E08A1">
        <w:rPr>
          <w:rFonts w:ascii="Times New Roman" w:hAnsi="Times New Roman" w:cs="Times New Roman"/>
          <w:sz w:val="24"/>
          <w:szCs w:val="24"/>
        </w:rPr>
        <w:t>.</w:t>
      </w:r>
      <w:r w:rsidR="00A95EAE">
        <w:rPr>
          <w:rFonts w:ascii="Times New Roman" w:hAnsi="Times New Roman" w:cs="Times New Roman"/>
          <w:sz w:val="24"/>
          <w:szCs w:val="24"/>
        </w:rPr>
        <w:t>202</w:t>
      </w:r>
      <w:r w:rsidR="00FD02A3">
        <w:rPr>
          <w:rFonts w:ascii="Times New Roman" w:hAnsi="Times New Roman" w:cs="Times New Roman"/>
          <w:sz w:val="24"/>
          <w:szCs w:val="24"/>
        </w:rPr>
        <w:t>4</w:t>
      </w:r>
      <w:r>
        <w:rPr>
          <w:rFonts w:ascii="Times New Roman" w:hAnsi="Times New Roman" w:cs="Times New Roman"/>
          <w:sz w:val="24"/>
          <w:szCs w:val="24"/>
        </w:rPr>
        <w:t xml:space="preserve"> ile </w:t>
      </w:r>
      <w:r w:rsidR="00D3039E">
        <w:rPr>
          <w:rFonts w:ascii="Times New Roman" w:hAnsi="Times New Roman" w:cs="Times New Roman"/>
          <w:sz w:val="24"/>
          <w:szCs w:val="24"/>
        </w:rPr>
        <w:t>3</w:t>
      </w:r>
      <w:r w:rsidR="00985710">
        <w:rPr>
          <w:rFonts w:ascii="Times New Roman" w:hAnsi="Times New Roman" w:cs="Times New Roman"/>
          <w:sz w:val="24"/>
          <w:szCs w:val="24"/>
        </w:rPr>
        <w:t>0</w:t>
      </w:r>
      <w:r w:rsidR="00D3039E">
        <w:rPr>
          <w:rFonts w:ascii="Times New Roman" w:hAnsi="Times New Roman" w:cs="Times New Roman"/>
          <w:sz w:val="24"/>
          <w:szCs w:val="24"/>
        </w:rPr>
        <w:t>.</w:t>
      </w:r>
      <w:r w:rsidR="00985710">
        <w:rPr>
          <w:rFonts w:ascii="Times New Roman" w:hAnsi="Times New Roman" w:cs="Times New Roman"/>
          <w:sz w:val="24"/>
          <w:szCs w:val="24"/>
        </w:rPr>
        <w:t>06</w:t>
      </w:r>
      <w:r w:rsidR="00A95EAE">
        <w:rPr>
          <w:rFonts w:ascii="Times New Roman" w:hAnsi="Times New Roman" w:cs="Times New Roman"/>
          <w:sz w:val="24"/>
          <w:szCs w:val="24"/>
        </w:rPr>
        <w:t>.202</w:t>
      </w:r>
      <w:r w:rsidR="00985710">
        <w:rPr>
          <w:rFonts w:ascii="Times New Roman" w:hAnsi="Times New Roman" w:cs="Times New Roman"/>
          <w:sz w:val="24"/>
          <w:szCs w:val="24"/>
        </w:rPr>
        <w:t>4</w:t>
      </w:r>
      <w:r>
        <w:rPr>
          <w:rFonts w:ascii="Times New Roman" w:hAnsi="Times New Roman" w:cs="Times New Roman"/>
          <w:sz w:val="24"/>
          <w:szCs w:val="24"/>
        </w:rPr>
        <w:t xml:space="preserve"> tarihleri arasındaki dönemi kapsamaktadır.</w:t>
      </w:r>
    </w:p>
    <w:p w14:paraId="52A27056" w14:textId="3CBC81B0" w:rsidR="006A1BA4" w:rsidRDefault="006A1BA4" w:rsidP="006A1BA4">
      <w:pPr>
        <w:spacing w:after="0"/>
        <w:ind w:left="705" w:hanging="705"/>
        <w:jc w:val="both"/>
        <w:rPr>
          <w:rFonts w:ascii="Times New Roman" w:hAnsi="Times New Roman" w:cs="Times New Roman"/>
          <w:sz w:val="24"/>
          <w:szCs w:val="24"/>
        </w:rPr>
      </w:pPr>
    </w:p>
    <w:p w14:paraId="112D3129" w14:textId="49F42A51" w:rsidR="00BC4211" w:rsidRDefault="002E2517" w:rsidP="00396176">
      <w:pPr>
        <w:spacing w:after="0"/>
        <w:rPr>
          <w:rFonts w:ascii="Times New Roman" w:hAnsi="Times New Roman" w:cs="Times New Roman"/>
          <w:b/>
          <w:sz w:val="24"/>
          <w:szCs w:val="24"/>
          <w:u w:val="single"/>
          <w:shd w:val="clear" w:color="auto" w:fill="FFFFFF"/>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A779B1" w:rsidRDefault="006A1BA4" w:rsidP="005F5413">
      <w:pPr>
        <w:spacing w:after="0"/>
        <w:ind w:left="705" w:hanging="705"/>
        <w:rPr>
          <w:rFonts w:ascii="Times New Roman" w:hAnsi="Times New Roman" w:cs="Times New Roman"/>
          <w:b/>
          <w:sz w:val="24"/>
          <w:szCs w:val="24"/>
          <w:u w:val="single"/>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02265E5C" w14:textId="5C0BB70A" w:rsidR="002C38BB" w:rsidRDefault="00D63D0D" w:rsidP="002C38BB">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Pr>
          <w:rFonts w:ascii="Times New Roman" w:eastAsia="Times New Roman" w:hAnsi="Times New Roman" w:cs="Times New Roman"/>
          <w:sz w:val="24"/>
          <w:szCs w:val="24"/>
        </w:rPr>
        <w:t>Lirası</w:t>
      </w:r>
      <w:proofErr w:type="gramEnd"/>
      <w:r>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681BFF88" w14:textId="729C4F40" w:rsidR="00640580" w:rsidRDefault="00640580" w:rsidP="002C38BB">
      <w:pPr>
        <w:pStyle w:val="ListeParagraf"/>
        <w:spacing w:after="0"/>
        <w:jc w:val="both"/>
        <w:rPr>
          <w:rFonts w:ascii="Times New Roman" w:hAnsi="Times New Roman" w:cs="Times New Roman"/>
          <w:sz w:val="24"/>
          <w:szCs w:val="24"/>
        </w:rPr>
      </w:pPr>
    </w:p>
    <w:p w14:paraId="3158A6A1" w14:textId="152703CA" w:rsidR="00596C79" w:rsidRPr="00640580" w:rsidRDefault="00596C79" w:rsidP="00A95EAE">
      <w:pPr>
        <w:pStyle w:val="ListeParagraf"/>
        <w:spacing w:after="0"/>
        <w:jc w:val="both"/>
        <w:rPr>
          <w:rFonts w:ascii="Times New Roman" w:hAnsi="Times New Roman" w:cs="Times New Roman"/>
          <w:sz w:val="24"/>
          <w:szCs w:val="24"/>
        </w:rPr>
      </w:pPr>
    </w:p>
    <w:p w14:paraId="30FD4DB9" w14:textId="77777777" w:rsidR="00596C79" w:rsidRPr="00BF54DE" w:rsidRDefault="00FF1215" w:rsidP="00596C79">
      <w:pPr>
        <w:pStyle w:val="ListeParagraf"/>
        <w:numPr>
          <w:ilvl w:val="0"/>
          <w:numId w:val="3"/>
        </w:numPr>
        <w:spacing w:after="0"/>
        <w:jc w:val="both"/>
        <w:rPr>
          <w:rFonts w:ascii="Times New Roman" w:hAnsi="Times New Roman" w:cs="Times New Roman"/>
          <w:sz w:val="24"/>
          <w:szCs w:val="24"/>
        </w:rPr>
      </w:pPr>
      <w:r w:rsidRPr="00BF54D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195AE271" w:rsidR="00FF1215" w:rsidRPr="00B76F6E" w:rsidRDefault="00FF1215" w:rsidP="00032E31">
      <w:pPr>
        <w:pStyle w:val="ListeParagraf"/>
        <w:numPr>
          <w:ilvl w:val="0"/>
          <w:numId w:val="3"/>
        </w:numPr>
        <w:spacing w:after="0"/>
        <w:jc w:val="both"/>
        <w:rPr>
          <w:rFonts w:ascii="Times New Roman" w:hAnsi="Times New Roman" w:cs="Times New Roman"/>
          <w:sz w:val="24"/>
          <w:szCs w:val="24"/>
        </w:rPr>
      </w:pPr>
      <w:r w:rsidRPr="00B76F6E">
        <w:rPr>
          <w:rFonts w:ascii="Times New Roman" w:hAnsi="Times New Roman" w:cs="Times New Roman"/>
          <w:sz w:val="24"/>
          <w:szCs w:val="24"/>
        </w:rPr>
        <w:t>Fon</w:t>
      </w:r>
      <w:r w:rsidR="00ED76F3" w:rsidRPr="00B76F6E">
        <w:rPr>
          <w:rFonts w:ascii="Times New Roman" w:hAnsi="Times New Roman" w:cs="Times New Roman"/>
          <w:sz w:val="24"/>
          <w:szCs w:val="24"/>
        </w:rPr>
        <w:t>,</w:t>
      </w:r>
      <w:r w:rsidRPr="00B76F6E">
        <w:rPr>
          <w:rFonts w:ascii="Times New Roman" w:hAnsi="Times New Roman" w:cs="Times New Roman"/>
          <w:sz w:val="24"/>
          <w:szCs w:val="24"/>
        </w:rPr>
        <w:t xml:space="preserve"> </w:t>
      </w:r>
      <w:r w:rsidR="00EE1C8B" w:rsidRPr="00B76F6E">
        <w:rPr>
          <w:rFonts w:ascii="Times New Roman" w:hAnsi="Times New Roman" w:cs="Times New Roman"/>
          <w:sz w:val="24"/>
          <w:szCs w:val="24"/>
        </w:rPr>
        <w:t>performans sunum</w:t>
      </w:r>
      <w:r w:rsidRPr="00B76F6E">
        <w:rPr>
          <w:rFonts w:ascii="Times New Roman" w:hAnsi="Times New Roman" w:cs="Times New Roman"/>
          <w:sz w:val="24"/>
          <w:szCs w:val="24"/>
        </w:rPr>
        <w:t xml:space="preserve"> döneminde </w:t>
      </w:r>
      <w:r w:rsidRPr="001974EB">
        <w:rPr>
          <w:rFonts w:ascii="Times New Roman" w:hAnsi="Times New Roman" w:cs="Times New Roman"/>
          <w:sz w:val="24"/>
          <w:szCs w:val="24"/>
        </w:rPr>
        <w:t xml:space="preserve">net </w:t>
      </w:r>
      <w:proofErr w:type="gramStart"/>
      <w:r w:rsidR="008E08A1">
        <w:rPr>
          <w:rFonts w:ascii="Times New Roman" w:hAnsi="Times New Roman" w:cs="Times New Roman"/>
          <w:sz w:val="24"/>
          <w:szCs w:val="24"/>
        </w:rPr>
        <w:t xml:space="preserve">% </w:t>
      </w:r>
      <w:r w:rsidR="00D151EA">
        <w:rPr>
          <w:rFonts w:ascii="Times New Roman" w:hAnsi="Times New Roman" w:cs="Times New Roman"/>
          <w:sz w:val="24"/>
          <w:szCs w:val="24"/>
        </w:rPr>
        <w:t>54,01</w:t>
      </w:r>
      <w:proofErr w:type="gramEnd"/>
      <w:r w:rsidR="008E08A1">
        <w:rPr>
          <w:rFonts w:ascii="Times New Roman" w:hAnsi="Times New Roman" w:cs="Times New Roman"/>
          <w:sz w:val="24"/>
          <w:szCs w:val="24"/>
        </w:rPr>
        <w:t xml:space="preserve"> kar etmiştir</w:t>
      </w:r>
      <w:r w:rsidRPr="00B76F6E">
        <w:rPr>
          <w:rFonts w:ascii="Times New Roman" w:hAnsi="Times New Roman" w:cs="Times New Roman"/>
          <w:sz w:val="24"/>
          <w:szCs w:val="24"/>
        </w:rPr>
        <w:t>.</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4CF82C33" w14:textId="77777777" w:rsidR="00E96F3E" w:rsidRPr="00E96F3E" w:rsidRDefault="00E96F3E" w:rsidP="00E96F3E">
      <w:pPr>
        <w:pStyle w:val="ListeParagraf"/>
        <w:rPr>
          <w:rFonts w:ascii="Times New Roman" w:hAnsi="Times New Roman" w:cs="Times New Roman"/>
          <w:sz w:val="24"/>
          <w:szCs w:val="24"/>
        </w:rPr>
      </w:pPr>
    </w:p>
    <w:tbl>
      <w:tblPr>
        <w:tblW w:w="8520" w:type="dxa"/>
        <w:tblInd w:w="75" w:type="dxa"/>
        <w:tblCellMar>
          <w:left w:w="70" w:type="dxa"/>
          <w:right w:w="70" w:type="dxa"/>
        </w:tblCellMar>
        <w:tblLook w:val="04A0" w:firstRow="1" w:lastRow="0" w:firstColumn="1" w:lastColumn="0" w:noHBand="0" w:noVBand="1"/>
      </w:tblPr>
      <w:tblGrid>
        <w:gridCol w:w="3430"/>
        <w:gridCol w:w="2267"/>
        <w:gridCol w:w="2823"/>
      </w:tblGrid>
      <w:tr w:rsidR="009B4926" w:rsidRPr="009B4926" w14:paraId="7E1C1E3A" w14:textId="77777777" w:rsidTr="009B4926">
        <w:trPr>
          <w:trHeight w:val="630"/>
        </w:trPr>
        <w:tc>
          <w:tcPr>
            <w:tcW w:w="34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A14A54" w14:textId="77777777" w:rsidR="009B4926" w:rsidRPr="009B4926" w:rsidRDefault="009B4926" w:rsidP="009B4926">
            <w:pPr>
              <w:spacing w:after="0" w:line="240" w:lineRule="auto"/>
              <w:jc w:val="center"/>
              <w:rPr>
                <w:rFonts w:ascii="Times New Roman" w:eastAsia="Times New Roman" w:hAnsi="Times New Roman" w:cs="Times New Roman"/>
                <w:b/>
                <w:bCs/>
                <w:color w:val="000000"/>
                <w:sz w:val="24"/>
                <w:szCs w:val="24"/>
                <w:lang w:eastAsia="tr-TR"/>
              </w:rPr>
            </w:pPr>
            <w:r w:rsidRPr="009B4926">
              <w:rPr>
                <w:rFonts w:ascii="Times New Roman" w:eastAsia="Times New Roman" w:hAnsi="Times New Roman" w:cs="Times New Roman"/>
                <w:b/>
                <w:bCs/>
                <w:color w:val="000000"/>
                <w:sz w:val="24"/>
                <w:szCs w:val="24"/>
                <w:lang w:eastAsia="tr-TR"/>
              </w:rPr>
              <w:t>Dönem Faaliyet Giderleri Dağılımı</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14:paraId="48AD73FF" w14:textId="77777777" w:rsidR="009B4926" w:rsidRPr="009B4926" w:rsidRDefault="009B4926" w:rsidP="009B4926">
            <w:pPr>
              <w:spacing w:after="0" w:line="240" w:lineRule="auto"/>
              <w:jc w:val="center"/>
              <w:rPr>
                <w:rFonts w:ascii="Times New Roman" w:eastAsia="Times New Roman" w:hAnsi="Times New Roman" w:cs="Times New Roman"/>
                <w:b/>
                <w:bCs/>
                <w:color w:val="000000"/>
                <w:sz w:val="24"/>
                <w:szCs w:val="24"/>
                <w:lang w:eastAsia="tr-TR"/>
              </w:rPr>
            </w:pPr>
            <w:r w:rsidRPr="009B4926">
              <w:rPr>
                <w:rFonts w:ascii="Times New Roman" w:eastAsia="Times New Roman" w:hAnsi="Times New Roman" w:cs="Times New Roman"/>
                <w:b/>
                <w:bCs/>
                <w:color w:val="000000"/>
                <w:sz w:val="24"/>
                <w:szCs w:val="24"/>
                <w:lang w:eastAsia="tr-TR"/>
              </w:rPr>
              <w:t>Portföy Değerine Oranı (%)</w:t>
            </w:r>
          </w:p>
        </w:tc>
        <w:tc>
          <w:tcPr>
            <w:tcW w:w="2823" w:type="dxa"/>
            <w:tcBorders>
              <w:top w:val="single" w:sz="4" w:space="0" w:color="auto"/>
              <w:left w:val="nil"/>
              <w:bottom w:val="single" w:sz="4" w:space="0" w:color="auto"/>
              <w:right w:val="single" w:sz="4" w:space="0" w:color="auto"/>
            </w:tcBorders>
            <w:shd w:val="clear" w:color="auto" w:fill="auto"/>
            <w:vAlign w:val="center"/>
            <w:hideMark/>
          </w:tcPr>
          <w:p w14:paraId="4147E4AA" w14:textId="77777777" w:rsidR="009B4926" w:rsidRPr="009B4926" w:rsidRDefault="009B4926" w:rsidP="009B4926">
            <w:pPr>
              <w:spacing w:after="0" w:line="240" w:lineRule="auto"/>
              <w:jc w:val="center"/>
              <w:rPr>
                <w:rFonts w:ascii="Times New Roman" w:eastAsia="Times New Roman" w:hAnsi="Times New Roman" w:cs="Times New Roman"/>
                <w:b/>
                <w:bCs/>
                <w:color w:val="000000"/>
                <w:sz w:val="24"/>
                <w:szCs w:val="24"/>
                <w:lang w:eastAsia="tr-TR"/>
              </w:rPr>
            </w:pPr>
            <w:r w:rsidRPr="009B4926">
              <w:rPr>
                <w:rFonts w:ascii="Times New Roman" w:eastAsia="Times New Roman" w:hAnsi="Times New Roman" w:cs="Times New Roman"/>
                <w:b/>
                <w:bCs/>
                <w:color w:val="000000"/>
                <w:sz w:val="24"/>
                <w:szCs w:val="24"/>
                <w:lang w:eastAsia="tr-TR"/>
              </w:rPr>
              <w:t>Tutar (TL)</w:t>
            </w:r>
          </w:p>
        </w:tc>
      </w:tr>
      <w:tr w:rsidR="009B4926" w:rsidRPr="009B4926" w14:paraId="329C7260" w14:textId="77777777" w:rsidTr="009B492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17C09A6C"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Yönetim Ücreti</w:t>
            </w:r>
          </w:p>
        </w:tc>
        <w:tc>
          <w:tcPr>
            <w:tcW w:w="2267" w:type="dxa"/>
            <w:tcBorders>
              <w:top w:val="nil"/>
              <w:left w:val="nil"/>
              <w:bottom w:val="single" w:sz="4" w:space="0" w:color="auto"/>
              <w:right w:val="single" w:sz="4" w:space="0" w:color="auto"/>
            </w:tcBorders>
            <w:shd w:val="clear" w:color="auto" w:fill="auto"/>
            <w:noWrap/>
            <w:vAlign w:val="center"/>
            <w:hideMark/>
          </w:tcPr>
          <w:p w14:paraId="52F0E4BE"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2,19</w:t>
            </w:r>
          </w:p>
        </w:tc>
        <w:tc>
          <w:tcPr>
            <w:tcW w:w="2823" w:type="dxa"/>
            <w:tcBorders>
              <w:top w:val="nil"/>
              <w:left w:val="nil"/>
              <w:bottom w:val="single" w:sz="4" w:space="0" w:color="auto"/>
              <w:right w:val="single" w:sz="4" w:space="0" w:color="auto"/>
            </w:tcBorders>
            <w:shd w:val="clear" w:color="auto" w:fill="auto"/>
            <w:noWrap/>
            <w:vAlign w:val="bottom"/>
            <w:hideMark/>
          </w:tcPr>
          <w:p w14:paraId="7E84401C"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11.494.625,23</w:t>
            </w:r>
          </w:p>
        </w:tc>
      </w:tr>
      <w:tr w:rsidR="009B4926" w:rsidRPr="009B4926" w14:paraId="635E9F46" w14:textId="77777777" w:rsidTr="009B492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36DC9E9F"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Komisyon ve Diğer İşlem Ücretleri</w:t>
            </w:r>
          </w:p>
        </w:tc>
        <w:tc>
          <w:tcPr>
            <w:tcW w:w="2267" w:type="dxa"/>
            <w:tcBorders>
              <w:top w:val="nil"/>
              <w:left w:val="nil"/>
              <w:bottom w:val="single" w:sz="4" w:space="0" w:color="auto"/>
              <w:right w:val="single" w:sz="4" w:space="0" w:color="auto"/>
            </w:tcBorders>
            <w:shd w:val="clear" w:color="auto" w:fill="auto"/>
            <w:noWrap/>
            <w:vAlign w:val="center"/>
            <w:hideMark/>
          </w:tcPr>
          <w:p w14:paraId="48BE1A1F"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0,16</w:t>
            </w:r>
          </w:p>
        </w:tc>
        <w:tc>
          <w:tcPr>
            <w:tcW w:w="2823" w:type="dxa"/>
            <w:tcBorders>
              <w:top w:val="nil"/>
              <w:left w:val="nil"/>
              <w:bottom w:val="single" w:sz="4" w:space="0" w:color="auto"/>
              <w:right w:val="single" w:sz="4" w:space="0" w:color="auto"/>
            </w:tcBorders>
            <w:shd w:val="clear" w:color="auto" w:fill="auto"/>
            <w:noWrap/>
            <w:vAlign w:val="bottom"/>
            <w:hideMark/>
          </w:tcPr>
          <w:p w14:paraId="3FFCE15E"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830.483,92</w:t>
            </w:r>
          </w:p>
        </w:tc>
      </w:tr>
      <w:tr w:rsidR="009B4926" w:rsidRPr="009B4926" w14:paraId="715F5FCB" w14:textId="77777777" w:rsidTr="009B492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40112F40"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Saklama Ücreti</w:t>
            </w:r>
          </w:p>
        </w:tc>
        <w:tc>
          <w:tcPr>
            <w:tcW w:w="2267" w:type="dxa"/>
            <w:tcBorders>
              <w:top w:val="nil"/>
              <w:left w:val="nil"/>
              <w:bottom w:val="single" w:sz="4" w:space="0" w:color="auto"/>
              <w:right w:val="single" w:sz="4" w:space="0" w:color="auto"/>
            </w:tcBorders>
            <w:shd w:val="clear" w:color="auto" w:fill="auto"/>
            <w:noWrap/>
            <w:vAlign w:val="center"/>
            <w:hideMark/>
          </w:tcPr>
          <w:p w14:paraId="6E4E7686"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0,08</w:t>
            </w:r>
          </w:p>
        </w:tc>
        <w:tc>
          <w:tcPr>
            <w:tcW w:w="2823" w:type="dxa"/>
            <w:tcBorders>
              <w:top w:val="nil"/>
              <w:left w:val="nil"/>
              <w:bottom w:val="single" w:sz="4" w:space="0" w:color="auto"/>
              <w:right w:val="single" w:sz="4" w:space="0" w:color="auto"/>
            </w:tcBorders>
            <w:shd w:val="clear" w:color="auto" w:fill="auto"/>
            <w:noWrap/>
            <w:vAlign w:val="bottom"/>
            <w:hideMark/>
          </w:tcPr>
          <w:p w14:paraId="5325EF6F"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395.926,74</w:t>
            </w:r>
          </w:p>
        </w:tc>
      </w:tr>
      <w:tr w:rsidR="009B4926" w:rsidRPr="009B4926" w14:paraId="31BB79C7" w14:textId="77777777" w:rsidTr="009B492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72EAF337"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lastRenderedPageBreak/>
              <w:t>Kurul Ücretleri</w:t>
            </w:r>
          </w:p>
        </w:tc>
        <w:tc>
          <w:tcPr>
            <w:tcW w:w="2267" w:type="dxa"/>
            <w:tcBorders>
              <w:top w:val="nil"/>
              <w:left w:val="nil"/>
              <w:bottom w:val="single" w:sz="4" w:space="0" w:color="auto"/>
              <w:right w:val="single" w:sz="4" w:space="0" w:color="auto"/>
            </w:tcBorders>
            <w:shd w:val="clear" w:color="auto" w:fill="auto"/>
            <w:noWrap/>
            <w:vAlign w:val="center"/>
            <w:hideMark/>
          </w:tcPr>
          <w:p w14:paraId="3A818A94"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0,02</w:t>
            </w:r>
          </w:p>
        </w:tc>
        <w:tc>
          <w:tcPr>
            <w:tcW w:w="2823" w:type="dxa"/>
            <w:tcBorders>
              <w:top w:val="nil"/>
              <w:left w:val="nil"/>
              <w:bottom w:val="single" w:sz="4" w:space="0" w:color="auto"/>
              <w:right w:val="single" w:sz="4" w:space="0" w:color="auto"/>
            </w:tcBorders>
            <w:shd w:val="clear" w:color="auto" w:fill="auto"/>
            <w:noWrap/>
            <w:vAlign w:val="bottom"/>
            <w:hideMark/>
          </w:tcPr>
          <w:p w14:paraId="16AE2483"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89.622,12</w:t>
            </w:r>
          </w:p>
        </w:tc>
      </w:tr>
      <w:tr w:rsidR="009B4926" w:rsidRPr="009B4926" w14:paraId="2A56963D" w14:textId="77777777" w:rsidTr="009B492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003B8603"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Bağımsız Denetim Ücreti</w:t>
            </w:r>
          </w:p>
        </w:tc>
        <w:tc>
          <w:tcPr>
            <w:tcW w:w="2267" w:type="dxa"/>
            <w:tcBorders>
              <w:top w:val="nil"/>
              <w:left w:val="nil"/>
              <w:bottom w:val="single" w:sz="4" w:space="0" w:color="auto"/>
              <w:right w:val="single" w:sz="4" w:space="0" w:color="auto"/>
            </w:tcBorders>
            <w:shd w:val="clear" w:color="auto" w:fill="auto"/>
            <w:noWrap/>
            <w:vAlign w:val="center"/>
            <w:hideMark/>
          </w:tcPr>
          <w:p w14:paraId="0690D5D8"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0,01</w:t>
            </w:r>
          </w:p>
        </w:tc>
        <w:tc>
          <w:tcPr>
            <w:tcW w:w="2823" w:type="dxa"/>
            <w:tcBorders>
              <w:top w:val="nil"/>
              <w:left w:val="nil"/>
              <w:bottom w:val="single" w:sz="4" w:space="0" w:color="auto"/>
              <w:right w:val="single" w:sz="4" w:space="0" w:color="auto"/>
            </w:tcBorders>
            <w:shd w:val="clear" w:color="auto" w:fill="auto"/>
            <w:noWrap/>
            <w:vAlign w:val="bottom"/>
            <w:hideMark/>
          </w:tcPr>
          <w:p w14:paraId="7D686E26"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69.788,08</w:t>
            </w:r>
          </w:p>
        </w:tc>
      </w:tr>
      <w:tr w:rsidR="009B4926" w:rsidRPr="009B4926" w14:paraId="68846EC9" w14:textId="77777777" w:rsidTr="009B492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56CE5B2E"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Diğer Giderler</w:t>
            </w:r>
          </w:p>
        </w:tc>
        <w:tc>
          <w:tcPr>
            <w:tcW w:w="2267" w:type="dxa"/>
            <w:tcBorders>
              <w:top w:val="nil"/>
              <w:left w:val="nil"/>
              <w:bottom w:val="single" w:sz="4" w:space="0" w:color="auto"/>
              <w:right w:val="single" w:sz="4" w:space="0" w:color="auto"/>
            </w:tcBorders>
            <w:shd w:val="clear" w:color="auto" w:fill="auto"/>
            <w:noWrap/>
            <w:vAlign w:val="center"/>
            <w:hideMark/>
          </w:tcPr>
          <w:p w14:paraId="458CD651"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0,02</w:t>
            </w:r>
          </w:p>
        </w:tc>
        <w:tc>
          <w:tcPr>
            <w:tcW w:w="2823" w:type="dxa"/>
            <w:tcBorders>
              <w:top w:val="nil"/>
              <w:left w:val="nil"/>
              <w:bottom w:val="single" w:sz="4" w:space="0" w:color="auto"/>
              <w:right w:val="single" w:sz="4" w:space="0" w:color="auto"/>
            </w:tcBorders>
            <w:shd w:val="clear" w:color="auto" w:fill="auto"/>
            <w:noWrap/>
            <w:vAlign w:val="bottom"/>
            <w:hideMark/>
          </w:tcPr>
          <w:p w14:paraId="4706BCC3"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102.485,06</w:t>
            </w:r>
          </w:p>
        </w:tc>
      </w:tr>
      <w:tr w:rsidR="009B4926" w:rsidRPr="009B4926" w14:paraId="44527D16" w14:textId="77777777" w:rsidTr="009B492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3B9B0F14" w14:textId="77777777" w:rsidR="009B4926" w:rsidRPr="009B4926" w:rsidRDefault="009B4926" w:rsidP="009B4926">
            <w:pPr>
              <w:spacing w:after="0" w:line="240" w:lineRule="auto"/>
              <w:jc w:val="center"/>
              <w:rPr>
                <w:rFonts w:ascii="Times New Roman" w:eastAsia="Times New Roman" w:hAnsi="Times New Roman" w:cs="Times New Roman"/>
                <w:b/>
                <w:bCs/>
                <w:color w:val="000000"/>
                <w:sz w:val="24"/>
                <w:szCs w:val="24"/>
                <w:lang w:eastAsia="tr-TR"/>
              </w:rPr>
            </w:pPr>
            <w:r w:rsidRPr="009B4926">
              <w:rPr>
                <w:rFonts w:ascii="Times New Roman" w:eastAsia="Times New Roman" w:hAnsi="Times New Roman" w:cs="Times New Roman"/>
                <w:b/>
                <w:bCs/>
                <w:color w:val="000000"/>
                <w:sz w:val="24"/>
                <w:szCs w:val="24"/>
                <w:lang w:eastAsia="tr-TR"/>
              </w:rPr>
              <w:t>Toplam</w:t>
            </w:r>
          </w:p>
        </w:tc>
        <w:tc>
          <w:tcPr>
            <w:tcW w:w="2267" w:type="dxa"/>
            <w:tcBorders>
              <w:top w:val="nil"/>
              <w:left w:val="nil"/>
              <w:bottom w:val="single" w:sz="4" w:space="0" w:color="auto"/>
              <w:right w:val="single" w:sz="4" w:space="0" w:color="auto"/>
            </w:tcBorders>
            <w:shd w:val="clear" w:color="auto" w:fill="auto"/>
            <w:noWrap/>
            <w:vAlign w:val="center"/>
            <w:hideMark/>
          </w:tcPr>
          <w:p w14:paraId="469E47FC"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2,48</w:t>
            </w:r>
          </w:p>
        </w:tc>
        <w:tc>
          <w:tcPr>
            <w:tcW w:w="2823" w:type="dxa"/>
            <w:tcBorders>
              <w:top w:val="nil"/>
              <w:left w:val="nil"/>
              <w:bottom w:val="single" w:sz="4" w:space="0" w:color="auto"/>
              <w:right w:val="single" w:sz="4" w:space="0" w:color="auto"/>
            </w:tcBorders>
            <w:shd w:val="clear" w:color="auto" w:fill="auto"/>
            <w:noWrap/>
            <w:vAlign w:val="bottom"/>
            <w:hideMark/>
          </w:tcPr>
          <w:p w14:paraId="413C6098"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12.982.931,15</w:t>
            </w:r>
          </w:p>
        </w:tc>
      </w:tr>
      <w:tr w:rsidR="009B4926" w:rsidRPr="009B4926" w14:paraId="4BB01E63" w14:textId="77777777" w:rsidTr="009B4926">
        <w:trPr>
          <w:trHeight w:val="315"/>
        </w:trPr>
        <w:tc>
          <w:tcPr>
            <w:tcW w:w="3430" w:type="dxa"/>
            <w:tcBorders>
              <w:top w:val="nil"/>
              <w:left w:val="nil"/>
              <w:bottom w:val="nil"/>
              <w:right w:val="nil"/>
            </w:tcBorders>
            <w:shd w:val="clear" w:color="auto" w:fill="auto"/>
            <w:noWrap/>
            <w:vAlign w:val="bottom"/>
            <w:hideMark/>
          </w:tcPr>
          <w:p w14:paraId="2B9594FA" w14:textId="77777777" w:rsidR="009B4926" w:rsidRPr="009B4926" w:rsidRDefault="009B4926" w:rsidP="009B4926">
            <w:pPr>
              <w:spacing w:after="0" w:line="240" w:lineRule="auto"/>
              <w:jc w:val="center"/>
              <w:rPr>
                <w:rFonts w:ascii="Times New Roman" w:eastAsia="Times New Roman" w:hAnsi="Times New Roman" w:cs="Times New Roman"/>
                <w:color w:val="000000"/>
                <w:sz w:val="24"/>
                <w:szCs w:val="24"/>
                <w:lang w:eastAsia="tr-TR"/>
              </w:rPr>
            </w:pPr>
          </w:p>
        </w:tc>
        <w:tc>
          <w:tcPr>
            <w:tcW w:w="2267" w:type="dxa"/>
            <w:tcBorders>
              <w:top w:val="nil"/>
              <w:left w:val="nil"/>
              <w:bottom w:val="nil"/>
              <w:right w:val="nil"/>
            </w:tcBorders>
            <w:shd w:val="clear" w:color="auto" w:fill="auto"/>
            <w:noWrap/>
            <w:vAlign w:val="bottom"/>
            <w:hideMark/>
          </w:tcPr>
          <w:p w14:paraId="24810873" w14:textId="77777777" w:rsidR="009B4926" w:rsidRPr="009B4926" w:rsidRDefault="009B4926" w:rsidP="009B4926">
            <w:pPr>
              <w:spacing w:after="0" w:line="240" w:lineRule="auto"/>
              <w:rPr>
                <w:rFonts w:ascii="Times New Roman" w:eastAsia="Times New Roman" w:hAnsi="Times New Roman" w:cs="Times New Roman"/>
                <w:sz w:val="20"/>
                <w:szCs w:val="20"/>
                <w:lang w:eastAsia="tr-TR"/>
              </w:rPr>
            </w:pPr>
          </w:p>
        </w:tc>
        <w:tc>
          <w:tcPr>
            <w:tcW w:w="2823" w:type="dxa"/>
            <w:tcBorders>
              <w:top w:val="nil"/>
              <w:left w:val="nil"/>
              <w:bottom w:val="nil"/>
              <w:right w:val="nil"/>
            </w:tcBorders>
            <w:shd w:val="clear" w:color="auto" w:fill="auto"/>
            <w:noWrap/>
            <w:vAlign w:val="bottom"/>
            <w:hideMark/>
          </w:tcPr>
          <w:p w14:paraId="052DDE27" w14:textId="77777777" w:rsidR="009B4926" w:rsidRPr="009B4926" w:rsidRDefault="009B4926" w:rsidP="009B4926">
            <w:pPr>
              <w:spacing w:after="0" w:line="240" w:lineRule="auto"/>
              <w:rPr>
                <w:rFonts w:ascii="Times New Roman" w:eastAsia="Times New Roman" w:hAnsi="Times New Roman" w:cs="Times New Roman"/>
                <w:sz w:val="20"/>
                <w:szCs w:val="20"/>
                <w:lang w:eastAsia="tr-TR"/>
              </w:rPr>
            </w:pPr>
          </w:p>
        </w:tc>
      </w:tr>
      <w:tr w:rsidR="009B4926" w:rsidRPr="009B4926" w14:paraId="26CE0393" w14:textId="77777777" w:rsidTr="009B4926">
        <w:trPr>
          <w:trHeight w:val="330"/>
        </w:trPr>
        <w:tc>
          <w:tcPr>
            <w:tcW w:w="3430" w:type="dxa"/>
            <w:tcBorders>
              <w:top w:val="nil"/>
              <w:left w:val="nil"/>
              <w:bottom w:val="nil"/>
              <w:right w:val="nil"/>
            </w:tcBorders>
            <w:shd w:val="clear" w:color="auto" w:fill="auto"/>
            <w:noWrap/>
            <w:vAlign w:val="bottom"/>
            <w:hideMark/>
          </w:tcPr>
          <w:p w14:paraId="3E8A99DA" w14:textId="77777777" w:rsidR="009B4926" w:rsidRPr="009B4926" w:rsidRDefault="009B4926" w:rsidP="009B4926">
            <w:pPr>
              <w:spacing w:after="0" w:line="240" w:lineRule="auto"/>
              <w:rPr>
                <w:rFonts w:ascii="Times New Roman" w:eastAsia="Times New Roman" w:hAnsi="Times New Roman" w:cs="Times New Roman"/>
                <w:sz w:val="20"/>
                <w:szCs w:val="20"/>
                <w:lang w:eastAsia="tr-TR"/>
              </w:rPr>
            </w:pPr>
          </w:p>
        </w:tc>
        <w:tc>
          <w:tcPr>
            <w:tcW w:w="2267" w:type="dxa"/>
            <w:tcBorders>
              <w:top w:val="nil"/>
              <w:left w:val="nil"/>
              <w:bottom w:val="nil"/>
              <w:right w:val="nil"/>
            </w:tcBorders>
            <w:shd w:val="clear" w:color="auto" w:fill="auto"/>
            <w:noWrap/>
            <w:vAlign w:val="bottom"/>
            <w:hideMark/>
          </w:tcPr>
          <w:p w14:paraId="663D0A86" w14:textId="77777777" w:rsidR="009B4926" w:rsidRPr="009B4926" w:rsidRDefault="009B4926" w:rsidP="009B4926">
            <w:pPr>
              <w:spacing w:after="0" w:line="240" w:lineRule="auto"/>
              <w:rPr>
                <w:rFonts w:ascii="Times New Roman" w:eastAsia="Times New Roman" w:hAnsi="Times New Roman" w:cs="Times New Roman"/>
                <w:sz w:val="20"/>
                <w:szCs w:val="20"/>
                <w:lang w:eastAsia="tr-TR"/>
              </w:rPr>
            </w:pPr>
          </w:p>
        </w:tc>
        <w:tc>
          <w:tcPr>
            <w:tcW w:w="2823" w:type="dxa"/>
            <w:tcBorders>
              <w:top w:val="nil"/>
              <w:left w:val="nil"/>
              <w:bottom w:val="nil"/>
              <w:right w:val="nil"/>
            </w:tcBorders>
            <w:shd w:val="clear" w:color="auto" w:fill="auto"/>
            <w:noWrap/>
            <w:vAlign w:val="bottom"/>
            <w:hideMark/>
          </w:tcPr>
          <w:p w14:paraId="4EC997B6" w14:textId="77777777" w:rsidR="009B4926" w:rsidRPr="009B4926" w:rsidRDefault="009B4926" w:rsidP="009B4926">
            <w:pPr>
              <w:spacing w:after="0" w:line="240" w:lineRule="auto"/>
              <w:rPr>
                <w:rFonts w:ascii="Times New Roman" w:eastAsia="Times New Roman" w:hAnsi="Times New Roman" w:cs="Times New Roman"/>
                <w:sz w:val="20"/>
                <w:szCs w:val="20"/>
                <w:lang w:eastAsia="tr-TR"/>
              </w:rPr>
            </w:pPr>
          </w:p>
        </w:tc>
      </w:tr>
      <w:tr w:rsidR="009B4926" w:rsidRPr="009B4926" w14:paraId="6F4209A9" w14:textId="77777777" w:rsidTr="009B4926">
        <w:trPr>
          <w:trHeight w:val="315"/>
        </w:trPr>
        <w:tc>
          <w:tcPr>
            <w:tcW w:w="85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86BEBCE" w14:textId="77777777" w:rsidR="009B4926" w:rsidRPr="009B4926" w:rsidRDefault="009B4926" w:rsidP="009B4926">
            <w:pPr>
              <w:spacing w:after="0" w:line="240" w:lineRule="auto"/>
              <w:jc w:val="center"/>
              <w:rPr>
                <w:rFonts w:ascii="Times New Roman" w:eastAsia="Times New Roman" w:hAnsi="Times New Roman" w:cs="Times New Roman"/>
                <w:b/>
                <w:bCs/>
                <w:color w:val="000000"/>
                <w:sz w:val="24"/>
                <w:szCs w:val="24"/>
                <w:lang w:eastAsia="tr-TR"/>
              </w:rPr>
            </w:pPr>
            <w:r w:rsidRPr="009B4926">
              <w:rPr>
                <w:rFonts w:ascii="Times New Roman" w:eastAsia="Times New Roman" w:hAnsi="Times New Roman" w:cs="Times New Roman"/>
                <w:b/>
                <w:bCs/>
                <w:color w:val="000000"/>
                <w:sz w:val="24"/>
                <w:szCs w:val="24"/>
                <w:lang w:eastAsia="tr-TR"/>
              </w:rPr>
              <w:t xml:space="preserve">01 </w:t>
            </w:r>
            <w:proofErr w:type="gramStart"/>
            <w:r w:rsidRPr="009B4926">
              <w:rPr>
                <w:rFonts w:ascii="Times New Roman" w:eastAsia="Times New Roman" w:hAnsi="Times New Roman" w:cs="Times New Roman"/>
                <w:b/>
                <w:bCs/>
                <w:color w:val="000000"/>
                <w:sz w:val="24"/>
                <w:szCs w:val="24"/>
                <w:lang w:eastAsia="tr-TR"/>
              </w:rPr>
              <w:t>Ocak -</w:t>
            </w:r>
            <w:proofErr w:type="gramEnd"/>
            <w:r w:rsidRPr="009B4926">
              <w:rPr>
                <w:rFonts w:ascii="Times New Roman" w:eastAsia="Times New Roman" w:hAnsi="Times New Roman" w:cs="Times New Roman"/>
                <w:b/>
                <w:bCs/>
                <w:color w:val="000000"/>
                <w:sz w:val="24"/>
                <w:szCs w:val="24"/>
                <w:lang w:eastAsia="tr-TR"/>
              </w:rPr>
              <w:t xml:space="preserve"> 30 Haziran 2024 </w:t>
            </w:r>
          </w:p>
        </w:tc>
      </w:tr>
      <w:tr w:rsidR="009B4926" w:rsidRPr="009B4926" w14:paraId="5BD223EE" w14:textId="77777777" w:rsidTr="009B4926">
        <w:trPr>
          <w:trHeight w:val="315"/>
        </w:trPr>
        <w:tc>
          <w:tcPr>
            <w:tcW w:w="569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37991B4" w14:textId="77777777" w:rsidR="009B4926" w:rsidRPr="009B4926" w:rsidRDefault="009B4926" w:rsidP="009B4926">
            <w:pPr>
              <w:spacing w:after="0" w:line="240" w:lineRule="auto"/>
              <w:rPr>
                <w:rFonts w:ascii="Times New Roman" w:eastAsia="Times New Roman" w:hAnsi="Times New Roman" w:cs="Times New Roman"/>
                <w:sz w:val="24"/>
                <w:szCs w:val="24"/>
                <w:lang w:eastAsia="tr-TR"/>
              </w:rPr>
            </w:pPr>
            <w:r w:rsidRPr="009B4926">
              <w:rPr>
                <w:rFonts w:ascii="Times New Roman" w:eastAsia="Times New Roman" w:hAnsi="Times New Roman" w:cs="Times New Roman"/>
                <w:sz w:val="24"/>
                <w:szCs w:val="24"/>
                <w:lang w:eastAsia="tr-TR"/>
              </w:rPr>
              <w:t>Ortalama Fon Portföy Değeri</w:t>
            </w:r>
          </w:p>
        </w:tc>
        <w:tc>
          <w:tcPr>
            <w:tcW w:w="2823" w:type="dxa"/>
            <w:tcBorders>
              <w:top w:val="nil"/>
              <w:left w:val="nil"/>
              <w:bottom w:val="single" w:sz="4" w:space="0" w:color="auto"/>
              <w:right w:val="single" w:sz="8" w:space="0" w:color="auto"/>
            </w:tcBorders>
            <w:shd w:val="clear" w:color="auto" w:fill="auto"/>
            <w:noWrap/>
            <w:vAlign w:val="bottom"/>
            <w:hideMark/>
          </w:tcPr>
          <w:p w14:paraId="79D78339" w14:textId="77777777" w:rsidR="009B4926" w:rsidRPr="009B4926" w:rsidRDefault="009B4926" w:rsidP="009B4926">
            <w:pPr>
              <w:spacing w:after="0" w:line="240" w:lineRule="auto"/>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524.256.975,73</w:t>
            </w:r>
          </w:p>
        </w:tc>
      </w:tr>
      <w:tr w:rsidR="009B4926" w:rsidRPr="009B4926" w14:paraId="606A3668" w14:textId="77777777" w:rsidTr="009B4926">
        <w:trPr>
          <w:trHeight w:val="315"/>
        </w:trPr>
        <w:tc>
          <w:tcPr>
            <w:tcW w:w="569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B955FA" w14:textId="77777777" w:rsidR="009B4926" w:rsidRPr="009B4926" w:rsidRDefault="009B4926" w:rsidP="009B4926">
            <w:pPr>
              <w:spacing w:after="0" w:line="240" w:lineRule="auto"/>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Toplam Faaliyet Giderleri</w:t>
            </w:r>
          </w:p>
        </w:tc>
        <w:tc>
          <w:tcPr>
            <w:tcW w:w="2823" w:type="dxa"/>
            <w:tcBorders>
              <w:top w:val="nil"/>
              <w:left w:val="nil"/>
              <w:bottom w:val="single" w:sz="4" w:space="0" w:color="auto"/>
              <w:right w:val="single" w:sz="8" w:space="0" w:color="auto"/>
            </w:tcBorders>
            <w:shd w:val="clear" w:color="auto" w:fill="auto"/>
            <w:noWrap/>
            <w:vAlign w:val="bottom"/>
            <w:hideMark/>
          </w:tcPr>
          <w:p w14:paraId="0C241C9C" w14:textId="77777777" w:rsidR="009B4926" w:rsidRPr="009B4926" w:rsidRDefault="009B4926" w:rsidP="009B4926">
            <w:pPr>
              <w:spacing w:after="0" w:line="240" w:lineRule="auto"/>
              <w:rPr>
                <w:rFonts w:ascii="Times New Roman" w:eastAsia="Times New Roman" w:hAnsi="Times New Roman" w:cs="Times New Roman"/>
                <w:color w:val="000000"/>
                <w:sz w:val="24"/>
                <w:szCs w:val="24"/>
                <w:lang w:eastAsia="tr-TR"/>
              </w:rPr>
            </w:pPr>
            <w:r w:rsidRPr="009B4926">
              <w:rPr>
                <w:rFonts w:ascii="Times New Roman" w:eastAsia="Times New Roman" w:hAnsi="Times New Roman" w:cs="Times New Roman"/>
                <w:color w:val="000000"/>
                <w:sz w:val="24"/>
                <w:szCs w:val="24"/>
                <w:lang w:eastAsia="tr-TR"/>
              </w:rPr>
              <w:t>12.982.931,15</w:t>
            </w:r>
          </w:p>
        </w:tc>
      </w:tr>
      <w:tr w:rsidR="009B4926" w:rsidRPr="009B4926" w14:paraId="34EF71FC" w14:textId="77777777" w:rsidTr="009B4926">
        <w:trPr>
          <w:trHeight w:val="330"/>
        </w:trPr>
        <w:tc>
          <w:tcPr>
            <w:tcW w:w="569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5B61449" w14:textId="77777777" w:rsidR="009B4926" w:rsidRPr="009B4926" w:rsidRDefault="009B4926" w:rsidP="009B4926">
            <w:pPr>
              <w:spacing w:after="0" w:line="240" w:lineRule="auto"/>
              <w:rPr>
                <w:rFonts w:ascii="Times New Roman" w:eastAsia="Times New Roman" w:hAnsi="Times New Roman" w:cs="Times New Roman"/>
                <w:sz w:val="24"/>
                <w:szCs w:val="24"/>
                <w:lang w:eastAsia="tr-TR"/>
              </w:rPr>
            </w:pPr>
            <w:r w:rsidRPr="009B4926">
              <w:rPr>
                <w:rFonts w:ascii="Times New Roman" w:eastAsia="Times New Roman" w:hAnsi="Times New Roman" w:cs="Times New Roman"/>
                <w:sz w:val="24"/>
                <w:szCs w:val="24"/>
                <w:lang w:eastAsia="tr-TR"/>
              </w:rPr>
              <w:t>Toplam Faaliyet Giderleri / Ortalama Portföy Değeri (%)</w:t>
            </w:r>
          </w:p>
        </w:tc>
        <w:tc>
          <w:tcPr>
            <w:tcW w:w="2823" w:type="dxa"/>
            <w:tcBorders>
              <w:top w:val="nil"/>
              <w:left w:val="nil"/>
              <w:bottom w:val="single" w:sz="8" w:space="0" w:color="auto"/>
              <w:right w:val="single" w:sz="8" w:space="0" w:color="auto"/>
            </w:tcBorders>
            <w:shd w:val="clear" w:color="auto" w:fill="auto"/>
            <w:noWrap/>
            <w:vAlign w:val="bottom"/>
            <w:hideMark/>
          </w:tcPr>
          <w:p w14:paraId="153532ED" w14:textId="77777777" w:rsidR="009B4926" w:rsidRPr="009B4926" w:rsidRDefault="009B4926" w:rsidP="009B4926">
            <w:pPr>
              <w:spacing w:after="0" w:line="240" w:lineRule="auto"/>
              <w:rPr>
                <w:rFonts w:ascii="Times New Roman" w:eastAsia="Times New Roman" w:hAnsi="Times New Roman" w:cs="Times New Roman"/>
                <w:sz w:val="24"/>
                <w:szCs w:val="24"/>
                <w:lang w:eastAsia="tr-TR"/>
              </w:rPr>
            </w:pPr>
            <w:r w:rsidRPr="009B4926">
              <w:rPr>
                <w:rFonts w:ascii="Times New Roman" w:eastAsia="Times New Roman" w:hAnsi="Times New Roman" w:cs="Times New Roman"/>
                <w:sz w:val="24"/>
                <w:szCs w:val="24"/>
                <w:lang w:eastAsia="tr-TR"/>
              </w:rPr>
              <w:t>2,48</w:t>
            </w:r>
          </w:p>
        </w:tc>
      </w:tr>
    </w:tbl>
    <w:p w14:paraId="56DF3B70" w14:textId="77777777" w:rsidR="00E96F3E" w:rsidRDefault="00E96F3E" w:rsidP="00E96F3E">
      <w:pPr>
        <w:spacing w:after="0"/>
        <w:jc w:val="both"/>
        <w:rPr>
          <w:rFonts w:ascii="Times New Roman" w:hAnsi="Times New Roman" w:cs="Times New Roman"/>
          <w:sz w:val="24"/>
          <w:szCs w:val="24"/>
        </w:rPr>
      </w:pPr>
    </w:p>
    <w:p w14:paraId="337D6D3D" w14:textId="77777777" w:rsidR="00E96F3E" w:rsidRDefault="00E96F3E" w:rsidP="00E96F3E">
      <w:pPr>
        <w:spacing w:after="0"/>
        <w:jc w:val="both"/>
        <w:rPr>
          <w:rFonts w:ascii="Times New Roman" w:hAnsi="Times New Roman" w:cs="Times New Roman"/>
          <w:sz w:val="24"/>
          <w:szCs w:val="24"/>
        </w:rPr>
      </w:pPr>
    </w:p>
    <w:p w14:paraId="10A321D0" w14:textId="77777777" w:rsidR="00E96F3E" w:rsidRDefault="00E96F3E" w:rsidP="00E96F3E">
      <w:pPr>
        <w:spacing w:after="0"/>
        <w:jc w:val="both"/>
        <w:rPr>
          <w:rFonts w:ascii="Times New Roman" w:hAnsi="Times New Roman" w:cs="Times New Roman"/>
          <w:sz w:val="24"/>
          <w:szCs w:val="24"/>
        </w:rPr>
      </w:pPr>
    </w:p>
    <w:p w14:paraId="1B5C3F60" w14:textId="77777777" w:rsidR="00E96F3E" w:rsidRDefault="00E96F3E" w:rsidP="00E96F3E">
      <w:pPr>
        <w:spacing w:after="0"/>
        <w:jc w:val="both"/>
        <w:rPr>
          <w:rFonts w:ascii="Times New Roman" w:hAnsi="Times New Roman" w:cs="Times New Roman"/>
          <w:sz w:val="24"/>
          <w:szCs w:val="24"/>
        </w:rPr>
      </w:pPr>
    </w:p>
    <w:p w14:paraId="1FD28175" w14:textId="77777777" w:rsidR="00E96F3E" w:rsidRDefault="00E96F3E" w:rsidP="00E96F3E">
      <w:pPr>
        <w:spacing w:after="0"/>
        <w:jc w:val="both"/>
        <w:rPr>
          <w:rFonts w:ascii="Times New Roman" w:hAnsi="Times New Roman" w:cs="Times New Roman"/>
          <w:sz w:val="24"/>
          <w:szCs w:val="24"/>
        </w:rPr>
      </w:pPr>
    </w:p>
    <w:p w14:paraId="1436548E" w14:textId="77777777" w:rsidR="00E96F3E" w:rsidRDefault="00E96F3E" w:rsidP="00E96F3E">
      <w:pPr>
        <w:spacing w:after="0"/>
        <w:jc w:val="both"/>
        <w:rPr>
          <w:rFonts w:ascii="Times New Roman" w:hAnsi="Times New Roman" w:cs="Times New Roman"/>
          <w:sz w:val="24"/>
          <w:szCs w:val="24"/>
        </w:rPr>
      </w:pPr>
    </w:p>
    <w:p w14:paraId="28EAD3C3" w14:textId="77777777" w:rsidR="00E96F3E" w:rsidRPr="00E96F3E" w:rsidRDefault="00E96F3E" w:rsidP="00E96F3E">
      <w:pPr>
        <w:spacing w:after="0"/>
        <w:jc w:val="both"/>
        <w:rPr>
          <w:rFonts w:ascii="Times New Roman" w:hAnsi="Times New Roman" w:cs="Times New Roman"/>
          <w:sz w:val="24"/>
          <w:szCs w:val="24"/>
        </w:rPr>
      </w:pPr>
    </w:p>
    <w:p w14:paraId="64BC7EA5" w14:textId="77777777" w:rsidR="002909C9" w:rsidRPr="00596C79" w:rsidRDefault="00CC7520" w:rsidP="00CC7520">
      <w:pPr>
        <w:pStyle w:val="ListeParagraf"/>
        <w:spacing w:after="0"/>
        <w:rPr>
          <w:rFonts w:ascii="Times New Roman" w:hAnsi="Times New Roman" w:cs="Times New Roman"/>
        </w:rPr>
      </w:pPr>
      <w:r>
        <w:rPr>
          <w:rFonts w:ascii="Times New Roman" w:hAnsi="Times New Roman" w:cs="Times New Roman"/>
          <w:sz w:val="24"/>
          <w:szCs w:val="24"/>
        </w:rPr>
        <w:t xml:space="preserve"> </w:t>
      </w:r>
    </w:p>
    <w:p w14:paraId="48E2ACEA" w14:textId="45157F2B" w:rsidR="00237C1F" w:rsidRPr="00596C79" w:rsidRDefault="00237C1F" w:rsidP="00CC7520">
      <w:pPr>
        <w:pStyle w:val="ListeParagraf"/>
        <w:spacing w:after="0"/>
        <w:rPr>
          <w:rFonts w:ascii="Times New Roman" w:hAnsi="Times New Roman" w:cs="Times New Roman"/>
        </w:rPr>
      </w:pPr>
    </w:p>
    <w:p w14:paraId="0DD162CF" w14:textId="3CBB5757" w:rsidR="00D34E03" w:rsidRDefault="00D34E03" w:rsidP="00CC7520">
      <w:pPr>
        <w:pStyle w:val="ListeParagraf"/>
        <w:spacing w:after="0"/>
        <w:rPr>
          <w:rFonts w:ascii="Times New Roman" w:hAnsi="Times New Roman" w:cs="Times New Roman"/>
          <w:sz w:val="24"/>
          <w:szCs w:val="24"/>
        </w:rPr>
      </w:pPr>
    </w:p>
    <w:p w14:paraId="3B093D03" w14:textId="41A7EDC6" w:rsidR="00CC7520"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 xml:space="preserve">erformans sunum dönemi içinde eşik </w:t>
      </w:r>
      <w:r w:rsidR="007D02FE">
        <w:rPr>
          <w:rFonts w:ascii="Times New Roman" w:hAnsi="Times New Roman" w:cs="Times New Roman"/>
          <w:sz w:val="24"/>
          <w:szCs w:val="24"/>
        </w:rPr>
        <w:t>değeri %80 BIST Katılım 100 Getiri Endeksi+</w:t>
      </w:r>
      <w:r w:rsidR="00CC7520" w:rsidRPr="00BF54DE">
        <w:rPr>
          <w:rFonts w:ascii="Times New Roman" w:hAnsi="Times New Roman" w:cs="Times New Roman"/>
          <w:sz w:val="24"/>
          <w:szCs w:val="24"/>
        </w:rPr>
        <w:t xml:space="preserve"> </w:t>
      </w:r>
      <w:r w:rsidR="007D02FE">
        <w:rPr>
          <w:rFonts w:ascii="Times New Roman" w:hAnsi="Times New Roman" w:cs="Times New Roman"/>
          <w:sz w:val="24"/>
          <w:szCs w:val="24"/>
        </w:rPr>
        <w:t>%20 BIST KYD 1 Aylık Kar Payı TL Endeksi olarak değiştirilmiştir</w:t>
      </w:r>
      <w:proofErr w:type="gramStart"/>
      <w:r w:rsidR="007D02FE">
        <w:rPr>
          <w:rFonts w:ascii="Times New Roman" w:hAnsi="Times New Roman" w:cs="Times New Roman"/>
          <w:sz w:val="24"/>
          <w:szCs w:val="24"/>
        </w:rPr>
        <w:t xml:space="preserve">. </w:t>
      </w:r>
      <w:r w:rsidR="00CC7520" w:rsidRPr="00BF54DE">
        <w:rPr>
          <w:rFonts w:ascii="Times New Roman" w:hAnsi="Times New Roman" w:cs="Times New Roman"/>
          <w:sz w:val="24"/>
          <w:szCs w:val="24"/>
        </w:rPr>
        <w:t>.</w:t>
      </w:r>
      <w:proofErr w:type="gramEnd"/>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oranında gelir vergisi </w:t>
      </w:r>
      <w:proofErr w:type="spellStart"/>
      <w:r>
        <w:rPr>
          <w:rFonts w:ascii="Times New Roman" w:hAnsi="Times New Roman" w:cs="Times New Roman"/>
          <w:sz w:val="24"/>
          <w:szCs w:val="24"/>
        </w:rPr>
        <w:t>tevfikatına</w:t>
      </w:r>
      <w:proofErr w:type="spellEnd"/>
      <w:r>
        <w:rPr>
          <w:rFonts w:ascii="Times New Roman" w:hAnsi="Times New Roman" w:cs="Times New Roman"/>
          <w:sz w:val="24"/>
          <w:szCs w:val="24"/>
        </w:rPr>
        <w:t xml:space="preserve">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41052D" w:rsidRDefault="00275FAF" w:rsidP="001B1C6E">
      <w:pPr>
        <w:pStyle w:val="ListeParagraf"/>
        <w:numPr>
          <w:ilvl w:val="0"/>
          <w:numId w:val="4"/>
        </w:numPr>
        <w:spacing w:after="0"/>
        <w:jc w:val="both"/>
        <w:rPr>
          <w:rFonts w:ascii="Times New Roman" w:hAnsi="Times New Roman" w:cs="Times New Roman"/>
          <w:b/>
          <w:sz w:val="24"/>
          <w:szCs w:val="24"/>
        </w:rPr>
      </w:pPr>
      <w:r w:rsidRPr="00275FAF">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275FAF">
        <w:rPr>
          <w:rFonts w:ascii="Times New Roman" w:hAnsi="Times New Roman" w:cs="Times New Roman"/>
          <w:sz w:val="24"/>
          <w:szCs w:val="24"/>
        </w:rPr>
        <w:t>)” inin</w:t>
      </w:r>
      <w:r w:rsidRPr="00275FAF">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41052D">
      <w:pPr>
        <w:pStyle w:val="ListeParagraf"/>
        <w:spacing w:after="0"/>
        <w:jc w:val="both"/>
        <w:rPr>
          <w:rFonts w:ascii="Times New Roman" w:hAnsi="Times New Roman" w:cs="Times New Roman"/>
          <w:b/>
          <w:sz w:val="24"/>
          <w:szCs w:val="24"/>
        </w:rPr>
      </w:pPr>
    </w:p>
    <w:p w14:paraId="609E1FFA" w14:textId="77777777" w:rsidR="00275FAF" w:rsidRDefault="00275FAF" w:rsidP="001B1C6E">
      <w:pPr>
        <w:pStyle w:val="ListeParagraf"/>
        <w:numPr>
          <w:ilvl w:val="0"/>
          <w:numId w:val="4"/>
        </w:numPr>
        <w:spacing w:after="0"/>
        <w:jc w:val="both"/>
        <w:rPr>
          <w:rFonts w:ascii="Times New Roman" w:hAnsi="Times New Roman" w:cs="Times New Roman"/>
          <w:sz w:val="24"/>
          <w:szCs w:val="24"/>
        </w:rPr>
      </w:pPr>
      <w:r w:rsidRPr="001B1C6E">
        <w:rPr>
          <w:rFonts w:ascii="Times New Roman" w:hAnsi="Times New Roman" w:cs="Times New Roman"/>
          <w:sz w:val="24"/>
          <w:szCs w:val="24"/>
        </w:rPr>
        <w:t xml:space="preserve">Yatırımcılar Fon’a yatırım yapmadan önce Fon’la ilgili temel yatırım risklerini değerlendirmelidirler. Fon’un maruz kalabileceği temel risklerden kaynaklanabilecek değişimler sonucunda Fon birim pay fiyatındaki olası düşüşlere bağlı olarak </w:t>
      </w:r>
      <w:r w:rsidRPr="001B1C6E">
        <w:rPr>
          <w:rFonts w:ascii="Times New Roman" w:hAnsi="Times New Roman" w:cs="Times New Roman"/>
          <w:sz w:val="24"/>
          <w:szCs w:val="24"/>
        </w:rPr>
        <w:lastRenderedPageBreak/>
        <w:t>yatırımlarının değerinin başlangıç değerinin altına düşebileceğini yatırımcılar göz önünde bulundurmalıdırlar. Fon’un</w:t>
      </w:r>
      <w:r w:rsidR="001B1C6E">
        <w:rPr>
          <w:rFonts w:ascii="Times New Roman" w:hAnsi="Times New Roman" w:cs="Times New Roman"/>
          <w:sz w:val="24"/>
          <w:szCs w:val="24"/>
        </w:rPr>
        <w:t xml:space="preserve"> maruz kalabileceği riskler aşağıdaki gibidir:</w:t>
      </w:r>
    </w:p>
    <w:p w14:paraId="2D3D9A41" w14:textId="34D273C9" w:rsidR="001B1C6E" w:rsidRDefault="001B1C6E" w:rsidP="001B1C6E">
      <w:pPr>
        <w:pStyle w:val="ListeParagraf"/>
        <w:spacing w:after="0"/>
        <w:jc w:val="both"/>
        <w:rPr>
          <w:rFonts w:ascii="Times New Roman" w:hAnsi="Times New Roman" w:cs="Times New Roman"/>
          <w:sz w:val="24"/>
          <w:szCs w:val="24"/>
        </w:rPr>
      </w:pPr>
    </w:p>
    <w:p w14:paraId="036C7BDC" w14:textId="77777777" w:rsidR="006F0052" w:rsidRPr="009535BC" w:rsidRDefault="006F0052" w:rsidP="006F0052">
      <w:pPr>
        <w:spacing w:after="0" w:line="240" w:lineRule="auto"/>
        <w:ind w:firstLine="709"/>
        <w:jc w:val="both"/>
        <w:rPr>
          <w:rFonts w:ascii="Times New Roman" w:eastAsia="Times New Roman" w:hAnsi="Times New Roman"/>
          <w:sz w:val="24"/>
          <w:szCs w:val="24"/>
        </w:rPr>
      </w:pPr>
      <w:r w:rsidRPr="009535BC">
        <w:rPr>
          <w:rFonts w:ascii="Times New Roman" w:eastAsia="Times New Roman" w:hAnsi="Times New Roman"/>
          <w:b/>
          <w:sz w:val="24"/>
          <w:szCs w:val="24"/>
        </w:rPr>
        <w:t>1) Piyasa Riski:</w:t>
      </w:r>
      <w:r w:rsidRPr="009535BC">
        <w:rPr>
          <w:rFonts w:ascii="Times New Roman" w:eastAsia="Times New Roman" w:hAnsi="Times New Roman"/>
          <w:sz w:val="24"/>
          <w:szCs w:val="24"/>
        </w:rPr>
        <w:t xml:space="preserve"> Piyasa riski ile borçlanmayı temsil eden finansal araçlara, ortaklık paylarına, diğer menkul kıymetlere dayalı Katılım Finans ilke ve esaslarına </w:t>
      </w:r>
      <w:r>
        <w:rPr>
          <w:rFonts w:ascii="Times New Roman" w:eastAsia="Times New Roman" w:hAnsi="Times New Roman"/>
          <w:sz w:val="24"/>
          <w:szCs w:val="24"/>
        </w:rPr>
        <w:t xml:space="preserve">uygun </w:t>
      </w:r>
      <w:r w:rsidRPr="009535BC">
        <w:rPr>
          <w:rFonts w:ascii="Times New Roman" w:eastAsia="Times New Roman" w:hAnsi="Times New Roman"/>
          <w:sz w:val="24"/>
          <w:szCs w:val="24"/>
        </w:rPr>
        <w:t xml:space="preserve">türev sözleşmelere ilişkin taşınan pozisyonların değerinde, ortaklık payı fiyatlarındaki dalgalanmalar nedeniyle meydana gelebilecek zarar riski ifade edilmektedir. Söz konusu risklerin detaylarına aşağıda yer verilmektedir: </w:t>
      </w:r>
    </w:p>
    <w:p w14:paraId="73D85D2B" w14:textId="77777777" w:rsidR="006F0052" w:rsidRPr="009535BC" w:rsidRDefault="006F0052" w:rsidP="006F0052">
      <w:pPr>
        <w:spacing w:after="0" w:line="240" w:lineRule="auto"/>
        <w:ind w:left="708" w:firstLine="1"/>
        <w:jc w:val="both"/>
        <w:rPr>
          <w:rFonts w:ascii="Times New Roman" w:eastAsia="Times New Roman" w:hAnsi="Times New Roman"/>
          <w:sz w:val="24"/>
          <w:szCs w:val="24"/>
        </w:rPr>
      </w:pPr>
    </w:p>
    <w:p w14:paraId="4E7B27F1" w14:textId="77777777" w:rsidR="006F0052" w:rsidRPr="009535BC" w:rsidRDefault="006F0052" w:rsidP="006F0052">
      <w:pPr>
        <w:spacing w:after="0" w:line="240" w:lineRule="auto"/>
        <w:ind w:left="708" w:firstLine="1"/>
        <w:jc w:val="both"/>
        <w:rPr>
          <w:rFonts w:ascii="Times New Roman" w:eastAsia="Times New Roman" w:hAnsi="Times New Roman"/>
          <w:bCs/>
          <w:sz w:val="24"/>
          <w:szCs w:val="24"/>
        </w:rPr>
      </w:pPr>
      <w:proofErr w:type="gramStart"/>
      <w:r w:rsidRPr="009535BC">
        <w:rPr>
          <w:rFonts w:ascii="Times New Roman" w:eastAsia="Times New Roman" w:hAnsi="Times New Roman"/>
          <w:b/>
          <w:sz w:val="24"/>
          <w:szCs w:val="24"/>
        </w:rPr>
        <w:t>a</w:t>
      </w:r>
      <w:proofErr w:type="gramEnd"/>
      <w:r w:rsidRPr="009535BC">
        <w:rPr>
          <w:rFonts w:ascii="Times New Roman" w:eastAsia="Times New Roman" w:hAnsi="Times New Roman"/>
          <w:b/>
          <w:sz w:val="24"/>
          <w:szCs w:val="24"/>
        </w:rPr>
        <w:t>- Kar Payı Oranı Riski:</w:t>
      </w:r>
      <w:r w:rsidRPr="009535BC">
        <w:rPr>
          <w:rFonts w:ascii="Times New Roman" w:eastAsia="Times New Roman" w:hAnsi="Times New Roman"/>
          <w:sz w:val="24"/>
          <w:szCs w:val="24"/>
        </w:rPr>
        <w:t xml:space="preserve"> </w:t>
      </w:r>
      <w:r w:rsidRPr="009535BC">
        <w:rPr>
          <w:rFonts w:ascii="Times New Roman" w:eastAsia="Times New Roman" w:hAnsi="Times New Roman"/>
          <w:bCs/>
          <w:sz w:val="24"/>
          <w:szCs w:val="24"/>
        </w:rPr>
        <w:t>Fon portföyüne katılma hesabı veya kira sertifikası gibi kâra katılım olanağı sağlayan ürünlerinin dahil edilmesi durumunda, söz konusu yatırımların getiri oranındaki değişimler nedeniyle maruz kalınabilecek zarar olasılığıdır.</w:t>
      </w:r>
    </w:p>
    <w:p w14:paraId="65B822FD" w14:textId="77777777" w:rsidR="006F0052" w:rsidRPr="009535BC" w:rsidRDefault="006F0052" w:rsidP="006F0052">
      <w:pPr>
        <w:spacing w:after="0" w:line="240" w:lineRule="auto"/>
        <w:ind w:firstLine="709"/>
        <w:jc w:val="both"/>
        <w:rPr>
          <w:rFonts w:ascii="Times New Roman" w:eastAsia="Times New Roman" w:hAnsi="Times New Roman"/>
          <w:sz w:val="24"/>
          <w:szCs w:val="24"/>
        </w:rPr>
      </w:pPr>
    </w:p>
    <w:p w14:paraId="642326F7" w14:textId="77777777" w:rsidR="006F0052" w:rsidRPr="009535BC" w:rsidRDefault="006F0052" w:rsidP="006F0052">
      <w:pPr>
        <w:spacing w:after="0" w:line="240" w:lineRule="auto"/>
        <w:ind w:left="708" w:firstLine="1"/>
        <w:jc w:val="both"/>
        <w:rPr>
          <w:rFonts w:ascii="Times New Roman" w:eastAsia="Times New Roman" w:hAnsi="Times New Roman"/>
          <w:sz w:val="24"/>
          <w:szCs w:val="24"/>
        </w:rPr>
      </w:pPr>
      <w:proofErr w:type="gramStart"/>
      <w:r w:rsidRPr="009535BC">
        <w:rPr>
          <w:rFonts w:ascii="Times New Roman" w:eastAsia="Times New Roman" w:hAnsi="Times New Roman"/>
          <w:b/>
          <w:sz w:val="24"/>
          <w:szCs w:val="24"/>
        </w:rPr>
        <w:t>b</w:t>
      </w:r>
      <w:proofErr w:type="gramEnd"/>
      <w:r w:rsidRPr="009535BC">
        <w:rPr>
          <w:rFonts w:ascii="Times New Roman" w:eastAsia="Times New Roman" w:hAnsi="Times New Roman"/>
          <w:b/>
          <w:sz w:val="24"/>
          <w:szCs w:val="24"/>
        </w:rPr>
        <w:t>- Ortaklık Payı Fiyat Riski:</w:t>
      </w:r>
      <w:r w:rsidRPr="009535BC">
        <w:rPr>
          <w:rFonts w:ascii="Times New Roman" w:eastAsia="Times New Roman" w:hAnsi="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339AB084" w14:textId="77777777" w:rsidR="006F0052" w:rsidRPr="009535BC" w:rsidRDefault="006F0052" w:rsidP="006F0052">
      <w:pPr>
        <w:spacing w:after="0" w:line="240" w:lineRule="auto"/>
        <w:jc w:val="both"/>
        <w:rPr>
          <w:rFonts w:ascii="Times New Roman" w:eastAsia="Times New Roman" w:hAnsi="Times New Roman"/>
          <w:sz w:val="24"/>
          <w:szCs w:val="24"/>
        </w:rPr>
      </w:pPr>
    </w:p>
    <w:p w14:paraId="5072892D" w14:textId="77777777" w:rsidR="006F0052" w:rsidRPr="009535BC" w:rsidRDefault="006F0052" w:rsidP="006F0052">
      <w:pPr>
        <w:spacing w:after="0" w:line="240" w:lineRule="auto"/>
        <w:jc w:val="both"/>
        <w:rPr>
          <w:rFonts w:ascii="Times New Roman" w:eastAsia="Times New Roman" w:hAnsi="Times New Roman"/>
          <w:bCs/>
          <w:sz w:val="24"/>
          <w:szCs w:val="24"/>
        </w:rPr>
      </w:pPr>
      <w:r w:rsidRPr="009535BC">
        <w:rPr>
          <w:rFonts w:ascii="Times New Roman" w:eastAsia="Times New Roman" w:hAnsi="Times New Roman"/>
          <w:b/>
          <w:sz w:val="24"/>
          <w:szCs w:val="24"/>
        </w:rPr>
        <w:tab/>
        <w:t>2)</w:t>
      </w:r>
      <w:r w:rsidRPr="009535BC">
        <w:rPr>
          <w:rFonts w:ascii="Times New Roman" w:eastAsia="Times New Roman" w:hAnsi="Times New Roman"/>
          <w:sz w:val="24"/>
          <w:szCs w:val="24"/>
        </w:rPr>
        <w:t xml:space="preserve"> </w:t>
      </w:r>
      <w:r w:rsidRPr="009535BC">
        <w:rPr>
          <w:rFonts w:ascii="Times New Roman" w:eastAsia="Times New Roman" w:hAnsi="Times New Roman"/>
          <w:b/>
          <w:sz w:val="24"/>
          <w:szCs w:val="24"/>
        </w:rPr>
        <w:t>Karşı Taraf Riski:</w:t>
      </w:r>
      <w:r w:rsidRPr="009535BC">
        <w:rPr>
          <w:rFonts w:ascii="Times New Roman" w:eastAsia="Times New Roman" w:hAnsi="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5505594A" w14:textId="77777777" w:rsidR="006F0052" w:rsidRPr="009535BC" w:rsidRDefault="006F0052" w:rsidP="006F0052">
      <w:pPr>
        <w:spacing w:after="0" w:line="240" w:lineRule="auto"/>
        <w:jc w:val="both"/>
        <w:rPr>
          <w:rFonts w:ascii="Times New Roman" w:eastAsia="Times New Roman" w:hAnsi="Times New Roman"/>
          <w:sz w:val="24"/>
          <w:szCs w:val="24"/>
        </w:rPr>
      </w:pPr>
      <w:r w:rsidRPr="009535BC">
        <w:rPr>
          <w:rFonts w:ascii="Times New Roman" w:eastAsia="Times New Roman" w:hAnsi="Times New Roman"/>
          <w:b/>
          <w:sz w:val="24"/>
          <w:szCs w:val="24"/>
        </w:rPr>
        <w:tab/>
        <w:t>3) Likidite Riski:</w:t>
      </w:r>
      <w:r w:rsidRPr="009535BC">
        <w:rPr>
          <w:rFonts w:ascii="Times New Roman" w:eastAsia="Times New Roman" w:hAnsi="Times New Roman"/>
          <w:sz w:val="24"/>
          <w:szCs w:val="24"/>
        </w:rPr>
        <w:t xml:space="preserve"> Fon portföyünde bulunan finansal varlıkların istenildiği anda piyasa fiyatından nakde dönüştürülememesi halinde ortaya çıkan zarar olasılığıdır.</w:t>
      </w:r>
    </w:p>
    <w:p w14:paraId="493F52D6" w14:textId="77777777" w:rsidR="006F0052" w:rsidRPr="009535BC" w:rsidRDefault="006F0052" w:rsidP="006F0052">
      <w:pPr>
        <w:spacing w:after="0" w:line="240" w:lineRule="auto"/>
        <w:jc w:val="both"/>
        <w:rPr>
          <w:rFonts w:ascii="Times New Roman" w:eastAsia="Times New Roman" w:hAnsi="Times New Roman"/>
          <w:bCs/>
          <w:sz w:val="24"/>
          <w:szCs w:val="24"/>
        </w:rPr>
      </w:pPr>
    </w:p>
    <w:p w14:paraId="1D59A540" w14:textId="77777777" w:rsidR="006F0052" w:rsidRDefault="006F0052" w:rsidP="006F0052">
      <w:pPr>
        <w:spacing w:after="0" w:line="240" w:lineRule="auto"/>
        <w:jc w:val="both"/>
        <w:rPr>
          <w:rFonts w:ascii="Times New Roman" w:eastAsia="Times New Roman" w:hAnsi="Times New Roman"/>
          <w:sz w:val="24"/>
          <w:szCs w:val="24"/>
        </w:rPr>
      </w:pPr>
      <w:r w:rsidRPr="009535BC">
        <w:rPr>
          <w:rFonts w:ascii="Times New Roman" w:eastAsia="Times New Roman" w:hAnsi="Times New Roman"/>
          <w:b/>
          <w:sz w:val="24"/>
          <w:szCs w:val="24"/>
        </w:rPr>
        <w:tab/>
        <w:t>4) Operasyonel Risk</w:t>
      </w:r>
      <w:r w:rsidRPr="009535BC">
        <w:rPr>
          <w:rFonts w:ascii="Times New Roman" w:eastAsia="Times New Roman" w:hAnsi="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132542FF" w14:textId="77777777" w:rsidR="006F0052" w:rsidRPr="009535BC" w:rsidRDefault="006F0052" w:rsidP="006F0052">
      <w:pPr>
        <w:spacing w:after="0" w:line="240" w:lineRule="auto"/>
        <w:jc w:val="both"/>
        <w:rPr>
          <w:rFonts w:ascii="Times New Roman" w:eastAsia="Times New Roman" w:hAnsi="Times New Roman"/>
          <w:sz w:val="24"/>
          <w:szCs w:val="24"/>
        </w:rPr>
      </w:pPr>
    </w:p>
    <w:p w14:paraId="1787F3B3" w14:textId="77777777" w:rsidR="006F0052" w:rsidRPr="009535BC" w:rsidRDefault="006F0052" w:rsidP="006F0052">
      <w:pPr>
        <w:spacing w:after="0" w:line="240" w:lineRule="auto"/>
        <w:jc w:val="both"/>
        <w:rPr>
          <w:rFonts w:ascii="Times New Roman" w:eastAsia="Times New Roman" w:hAnsi="Times New Roman"/>
          <w:sz w:val="24"/>
          <w:szCs w:val="24"/>
        </w:rPr>
      </w:pPr>
      <w:r w:rsidRPr="009535BC">
        <w:rPr>
          <w:rFonts w:ascii="Times New Roman" w:eastAsia="Times New Roman" w:hAnsi="Times New Roman"/>
          <w:b/>
          <w:sz w:val="24"/>
          <w:szCs w:val="24"/>
        </w:rPr>
        <w:tab/>
        <w:t>5) Yoğunlaşma Riski:</w:t>
      </w:r>
      <w:r w:rsidRPr="009535BC">
        <w:rPr>
          <w:rFonts w:ascii="Times New Roman" w:eastAsia="Times New Roman" w:hAnsi="Times New Roman"/>
          <w:sz w:val="24"/>
          <w:szCs w:val="24"/>
        </w:rPr>
        <w:t xml:space="preserve"> Belli bir varlığa ve/veya vadeye yoğun yatırım yapılması sonucu fonun bu varlığın ve vadenin içerdiği risklere maruz kalmasıdır.</w:t>
      </w:r>
    </w:p>
    <w:p w14:paraId="559CE34E" w14:textId="77777777" w:rsidR="006F0052" w:rsidRPr="009535BC" w:rsidRDefault="006F0052" w:rsidP="006F0052">
      <w:pPr>
        <w:spacing w:after="0" w:line="240" w:lineRule="auto"/>
        <w:jc w:val="both"/>
        <w:rPr>
          <w:rFonts w:ascii="Times New Roman" w:eastAsia="Times New Roman" w:hAnsi="Times New Roman"/>
          <w:sz w:val="24"/>
          <w:szCs w:val="24"/>
        </w:rPr>
      </w:pPr>
      <w:r w:rsidRPr="009535BC">
        <w:rPr>
          <w:rFonts w:ascii="Times New Roman" w:eastAsia="Times New Roman" w:hAnsi="Times New Roman"/>
          <w:sz w:val="24"/>
          <w:szCs w:val="24"/>
        </w:rPr>
        <w:tab/>
      </w:r>
    </w:p>
    <w:p w14:paraId="7EC919E6" w14:textId="77777777" w:rsidR="006F0052" w:rsidRPr="009535BC" w:rsidRDefault="006F0052" w:rsidP="006F0052">
      <w:pPr>
        <w:spacing w:after="0" w:line="240" w:lineRule="auto"/>
        <w:jc w:val="both"/>
        <w:rPr>
          <w:rFonts w:ascii="Times New Roman" w:eastAsia="Times New Roman" w:hAnsi="Times New Roman"/>
          <w:sz w:val="24"/>
          <w:szCs w:val="24"/>
        </w:rPr>
      </w:pPr>
      <w:r w:rsidRPr="009535BC">
        <w:rPr>
          <w:rFonts w:ascii="Times New Roman" w:eastAsia="Times New Roman" w:hAnsi="Times New Roman"/>
          <w:sz w:val="24"/>
          <w:szCs w:val="24"/>
        </w:rPr>
        <w:tab/>
      </w:r>
      <w:r w:rsidRPr="009535BC">
        <w:rPr>
          <w:rFonts w:ascii="Times New Roman" w:eastAsia="Times New Roman" w:hAnsi="Times New Roman"/>
          <w:b/>
          <w:sz w:val="24"/>
          <w:szCs w:val="24"/>
        </w:rPr>
        <w:t>6) Korelasyon Riski:</w:t>
      </w:r>
      <w:r w:rsidRPr="009535BC">
        <w:rPr>
          <w:rFonts w:ascii="Times New Roman" w:eastAsia="Times New Roman" w:hAnsi="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03F38259" w14:textId="77777777" w:rsidR="006F0052" w:rsidRPr="009535BC" w:rsidRDefault="006F0052" w:rsidP="006F0052">
      <w:pPr>
        <w:spacing w:after="0" w:line="240" w:lineRule="auto"/>
        <w:jc w:val="both"/>
        <w:rPr>
          <w:rFonts w:ascii="Times New Roman" w:eastAsia="Times New Roman" w:hAnsi="Times New Roman"/>
          <w:sz w:val="24"/>
          <w:szCs w:val="24"/>
        </w:rPr>
      </w:pPr>
    </w:p>
    <w:p w14:paraId="2FDC3220" w14:textId="77777777" w:rsidR="006F0052" w:rsidRPr="009535BC" w:rsidRDefault="006F0052" w:rsidP="006F0052">
      <w:pPr>
        <w:spacing w:after="0" w:line="240" w:lineRule="auto"/>
        <w:jc w:val="both"/>
        <w:rPr>
          <w:rFonts w:ascii="Times New Roman" w:eastAsia="Times New Roman" w:hAnsi="Times New Roman"/>
          <w:sz w:val="24"/>
          <w:szCs w:val="24"/>
        </w:rPr>
      </w:pPr>
      <w:r w:rsidRPr="009535BC">
        <w:rPr>
          <w:rFonts w:ascii="Times New Roman" w:eastAsia="Times New Roman" w:hAnsi="Times New Roman"/>
          <w:b/>
          <w:sz w:val="24"/>
          <w:szCs w:val="24"/>
        </w:rPr>
        <w:tab/>
        <w:t>7) Yasal Risk:</w:t>
      </w:r>
      <w:r w:rsidRPr="009535BC">
        <w:rPr>
          <w:rFonts w:ascii="Times New Roman" w:eastAsia="Times New Roman" w:hAnsi="Times New Roman"/>
          <w:sz w:val="24"/>
          <w:szCs w:val="24"/>
        </w:rPr>
        <w:t xml:space="preserve"> Fonun halka arz edildiği dönemden sonra mevzuatta ve düzenleyici otoritelerin düzenlemelerinde meydana gelebilecek değişiklerden olumsuz etkilenmesi riskidir.</w:t>
      </w:r>
    </w:p>
    <w:p w14:paraId="2D7BCC65" w14:textId="77777777" w:rsidR="006F0052" w:rsidRPr="009535BC" w:rsidRDefault="006F0052" w:rsidP="006F0052">
      <w:pPr>
        <w:spacing w:after="0" w:line="240" w:lineRule="auto"/>
        <w:jc w:val="both"/>
        <w:rPr>
          <w:rFonts w:ascii="Times New Roman" w:eastAsia="Times New Roman" w:hAnsi="Times New Roman"/>
          <w:sz w:val="24"/>
          <w:szCs w:val="24"/>
        </w:rPr>
      </w:pPr>
    </w:p>
    <w:p w14:paraId="015CFF35" w14:textId="77777777" w:rsidR="006F0052" w:rsidRPr="009535BC" w:rsidRDefault="006F0052" w:rsidP="006F0052">
      <w:pPr>
        <w:spacing w:after="0" w:line="240" w:lineRule="auto"/>
        <w:ind w:firstLine="708"/>
        <w:jc w:val="both"/>
        <w:rPr>
          <w:rFonts w:ascii="Times New Roman" w:eastAsia="Times New Roman" w:hAnsi="Times New Roman"/>
          <w:sz w:val="24"/>
          <w:szCs w:val="24"/>
        </w:rPr>
      </w:pPr>
      <w:r w:rsidRPr="009535BC">
        <w:rPr>
          <w:rFonts w:ascii="Times New Roman" w:eastAsia="Times New Roman" w:hAnsi="Times New Roman"/>
          <w:b/>
          <w:sz w:val="24"/>
          <w:szCs w:val="24"/>
        </w:rPr>
        <w:t xml:space="preserve">8) İhraççı Riski: </w:t>
      </w:r>
      <w:r w:rsidRPr="009535BC">
        <w:rPr>
          <w:rFonts w:ascii="Times New Roman" w:eastAsia="Times New Roman" w:hAnsi="Times New Roman"/>
          <w:sz w:val="24"/>
          <w:szCs w:val="24"/>
        </w:rPr>
        <w:t>Fon portföyüne alınan varlıkların</w:t>
      </w:r>
      <w:r w:rsidRPr="009535BC">
        <w:rPr>
          <w:rFonts w:ascii="Times New Roman" w:eastAsia="Times New Roman" w:hAnsi="Times New Roman"/>
          <w:b/>
          <w:sz w:val="24"/>
          <w:szCs w:val="24"/>
        </w:rPr>
        <w:t xml:space="preserve"> </w:t>
      </w:r>
      <w:r w:rsidRPr="009535BC">
        <w:rPr>
          <w:rFonts w:ascii="Times New Roman" w:eastAsia="Times New Roman" w:hAnsi="Times New Roman"/>
          <w:sz w:val="24"/>
          <w:szCs w:val="24"/>
        </w:rPr>
        <w:t>ihraççısının yükümlülüklerini kısmen veya tamamen zamanında yerine getirememesi nedeniyle doğabilecek zarar ihtimalini ifade eder.</w:t>
      </w:r>
    </w:p>
    <w:p w14:paraId="67B756CA" w14:textId="77777777" w:rsidR="006F0052" w:rsidRPr="009535BC" w:rsidRDefault="006F0052" w:rsidP="006F0052">
      <w:pPr>
        <w:spacing w:after="0" w:line="240" w:lineRule="auto"/>
        <w:jc w:val="both"/>
        <w:rPr>
          <w:rFonts w:ascii="Times New Roman" w:eastAsia="Times New Roman" w:hAnsi="Times New Roman"/>
          <w:bCs/>
          <w:sz w:val="24"/>
          <w:szCs w:val="24"/>
        </w:rPr>
      </w:pPr>
    </w:p>
    <w:p w14:paraId="7F89689C" w14:textId="77777777" w:rsidR="006F0052" w:rsidRPr="009535BC" w:rsidRDefault="006F0052" w:rsidP="006F0052">
      <w:pPr>
        <w:spacing w:after="0" w:line="240" w:lineRule="auto"/>
        <w:ind w:firstLine="720"/>
        <w:jc w:val="both"/>
        <w:rPr>
          <w:rFonts w:ascii="Times New Roman" w:eastAsia="Times New Roman" w:hAnsi="Times New Roman"/>
          <w:b/>
          <w:bCs/>
          <w:sz w:val="24"/>
          <w:szCs w:val="24"/>
        </w:rPr>
      </w:pPr>
      <w:r>
        <w:rPr>
          <w:rFonts w:ascii="Times New Roman" w:eastAsia="Times New Roman" w:hAnsi="Times New Roman"/>
          <w:b/>
          <w:bCs/>
          <w:sz w:val="24"/>
          <w:szCs w:val="24"/>
        </w:rPr>
        <w:t>9</w:t>
      </w:r>
      <w:r w:rsidRPr="009535BC">
        <w:rPr>
          <w:rFonts w:ascii="Times New Roman" w:eastAsia="Times New Roman" w:hAnsi="Times New Roman"/>
          <w:b/>
          <w:bCs/>
          <w:sz w:val="24"/>
          <w:szCs w:val="24"/>
        </w:rPr>
        <w:t xml:space="preserve">) Katılım Esaslı İşlem Riski: </w:t>
      </w:r>
      <w:r w:rsidRPr="009535BC">
        <w:rPr>
          <w:rFonts w:ascii="Times New Roman" w:eastAsia="Times New Roman" w:hAnsi="Times New Roman"/>
          <w:sz w:val="24"/>
          <w:szCs w:val="24"/>
        </w:rPr>
        <w:t xml:space="preserve">Fon portföyüne ileri valörlü kira sertifikaları dahil edilmesi halinde, başlangıç yatırımı ile başlangıç yatırımının üzerinde pozisyon alınması </w:t>
      </w:r>
      <w:r w:rsidRPr="009535BC">
        <w:rPr>
          <w:rFonts w:ascii="Times New Roman" w:eastAsia="Times New Roman" w:hAnsi="Times New Roman"/>
          <w:sz w:val="24"/>
          <w:szCs w:val="24"/>
        </w:rPr>
        <w:lastRenderedPageBreak/>
        <w:t>sebebiyle, başlangıç yatırımından daha yüksek zarar kaydedebilme olasılığı katılım esaslı işlem riskini ifade eder.</w:t>
      </w:r>
    </w:p>
    <w:p w14:paraId="557F1D2F" w14:textId="77777777" w:rsidR="006F0052" w:rsidRPr="00D255FB" w:rsidRDefault="006F0052" w:rsidP="006F0052">
      <w:pPr>
        <w:pStyle w:val="ListeParagraf"/>
      </w:pPr>
    </w:p>
    <w:sectPr w:rsidR="006F0052" w:rsidRPr="00D255FB" w:rsidSect="008A60CB">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7960" w14:textId="77777777" w:rsidR="00BA118B" w:rsidRDefault="00BA118B" w:rsidP="00A05B08">
      <w:pPr>
        <w:spacing w:after="0" w:line="240" w:lineRule="auto"/>
      </w:pPr>
      <w:r>
        <w:separator/>
      </w:r>
    </w:p>
  </w:endnote>
  <w:endnote w:type="continuationSeparator" w:id="0">
    <w:p w14:paraId="4AFC6343" w14:textId="77777777" w:rsidR="00BA118B" w:rsidRDefault="00BA118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1C7" w14:textId="77777777" w:rsidR="00BA118B" w:rsidRDefault="00BA118B" w:rsidP="00A05B08">
      <w:pPr>
        <w:spacing w:after="0" w:line="240" w:lineRule="auto"/>
      </w:pPr>
      <w:r>
        <w:separator/>
      </w:r>
    </w:p>
  </w:footnote>
  <w:footnote w:type="continuationSeparator" w:id="0">
    <w:p w14:paraId="70023353" w14:textId="77777777" w:rsidR="00BA118B" w:rsidRDefault="00BA118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DF410" w14:textId="2419A4EF" w:rsidR="006F0052" w:rsidRPr="006F0052" w:rsidRDefault="006F0052" w:rsidP="006F0052">
    <w:pPr>
      <w:spacing w:after="0"/>
      <w:rPr>
        <w:rFonts w:ascii="Times New Roman" w:hAnsi="Times New Roman" w:cs="Times New Roman"/>
        <w:b/>
        <w:color w:val="1F3864" w:themeColor="accent5" w:themeShade="80"/>
        <w:sz w:val="24"/>
        <w:szCs w:val="24"/>
      </w:rPr>
    </w:pPr>
    <w:r w:rsidRPr="006F0052">
      <w:rPr>
        <w:rFonts w:ascii="Times New Roman" w:hAnsi="Times New Roman" w:cs="Times New Roman"/>
        <w:b/>
        <w:color w:val="1F3864" w:themeColor="accent5" w:themeShade="80"/>
        <w:sz w:val="24"/>
        <w:szCs w:val="24"/>
      </w:rPr>
      <w:t>HEDEF PORTFÖY KATILIM HİSSE SENEDİ SERBEST (TL) FON (HİSSE SENEDİ</w:t>
    </w:r>
    <w:r>
      <w:rPr>
        <w:rFonts w:ascii="Times New Roman" w:hAnsi="Times New Roman" w:cs="Times New Roman"/>
        <w:b/>
        <w:color w:val="1F3864" w:themeColor="accent5" w:themeShade="80"/>
        <w:sz w:val="24"/>
        <w:szCs w:val="24"/>
      </w:rPr>
      <w:t xml:space="preserve"> </w:t>
    </w:r>
    <w:r w:rsidRPr="006F0052">
      <w:rPr>
        <w:rFonts w:ascii="Times New Roman" w:hAnsi="Times New Roman" w:cs="Times New Roman"/>
        <w:b/>
        <w:color w:val="1F3864" w:themeColor="accent5" w:themeShade="80"/>
        <w:sz w:val="24"/>
        <w:szCs w:val="24"/>
      </w:rPr>
      <w:t>YOĞUN FON)</w:t>
    </w:r>
  </w:p>
  <w:p w14:paraId="4929797E" w14:textId="52C1D1E4" w:rsidR="00A05B08" w:rsidRPr="0041052D" w:rsidRDefault="009C7259">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5075"/>
    <w:multiLevelType w:val="hybridMultilevel"/>
    <w:tmpl w:val="3514CA58"/>
    <w:lvl w:ilvl="0" w:tplc="A59E3DE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D23C5"/>
    <w:multiLevelType w:val="hybridMultilevel"/>
    <w:tmpl w:val="3A763B8E"/>
    <w:lvl w:ilvl="0" w:tplc="3586CA5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7C1707"/>
    <w:multiLevelType w:val="hybridMultilevel"/>
    <w:tmpl w:val="697C146A"/>
    <w:lvl w:ilvl="0" w:tplc="BAB8B27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5"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B5910B3"/>
    <w:multiLevelType w:val="hybridMultilevel"/>
    <w:tmpl w:val="9558D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abstractNum w:abstractNumId="12" w15:restartNumberingAfterBreak="0">
    <w:nsid w:val="76F564D1"/>
    <w:multiLevelType w:val="hybridMultilevel"/>
    <w:tmpl w:val="51F0EB3E"/>
    <w:lvl w:ilvl="0" w:tplc="72FA85AA">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16cid:durableId="655454885">
    <w:abstractNumId w:val="6"/>
  </w:num>
  <w:num w:numId="2" w16cid:durableId="20474499">
    <w:abstractNumId w:val="1"/>
  </w:num>
  <w:num w:numId="3" w16cid:durableId="1810249531">
    <w:abstractNumId w:val="9"/>
  </w:num>
  <w:num w:numId="4" w16cid:durableId="875702249">
    <w:abstractNumId w:val="8"/>
  </w:num>
  <w:num w:numId="5" w16cid:durableId="1649088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4206587">
    <w:abstractNumId w:val="11"/>
  </w:num>
  <w:num w:numId="7" w16cid:durableId="1548105764">
    <w:abstractNumId w:val="4"/>
  </w:num>
  <w:num w:numId="8" w16cid:durableId="1358894976">
    <w:abstractNumId w:val="7"/>
  </w:num>
  <w:num w:numId="9" w16cid:durableId="348334804">
    <w:abstractNumId w:val="5"/>
  </w:num>
  <w:num w:numId="10" w16cid:durableId="1051733869">
    <w:abstractNumId w:val="2"/>
  </w:num>
  <w:num w:numId="11" w16cid:durableId="624317127">
    <w:abstractNumId w:val="0"/>
  </w:num>
  <w:num w:numId="12" w16cid:durableId="1937906087">
    <w:abstractNumId w:val="3"/>
  </w:num>
  <w:num w:numId="13" w16cid:durableId="1536850372">
    <w:abstractNumId w:val="12"/>
  </w:num>
  <w:num w:numId="14" w16cid:durableId="2000383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16B29"/>
    <w:rsid w:val="00030329"/>
    <w:rsid w:val="000329C6"/>
    <w:rsid w:val="00032E31"/>
    <w:rsid w:val="000333B4"/>
    <w:rsid w:val="00044114"/>
    <w:rsid w:val="000669A7"/>
    <w:rsid w:val="000A1D61"/>
    <w:rsid w:val="000A5120"/>
    <w:rsid w:val="000B2046"/>
    <w:rsid w:val="000E1417"/>
    <w:rsid w:val="000F7A0F"/>
    <w:rsid w:val="000F7B1B"/>
    <w:rsid w:val="00103F61"/>
    <w:rsid w:val="00106889"/>
    <w:rsid w:val="00123D3D"/>
    <w:rsid w:val="00137894"/>
    <w:rsid w:val="0014109D"/>
    <w:rsid w:val="00151332"/>
    <w:rsid w:val="00154745"/>
    <w:rsid w:val="00156406"/>
    <w:rsid w:val="0016246E"/>
    <w:rsid w:val="001974EB"/>
    <w:rsid w:val="001B1348"/>
    <w:rsid w:val="001B1C6E"/>
    <w:rsid w:val="001C4968"/>
    <w:rsid w:val="001C500A"/>
    <w:rsid w:val="001E0E01"/>
    <w:rsid w:val="001F03D6"/>
    <w:rsid w:val="00223B91"/>
    <w:rsid w:val="0023421B"/>
    <w:rsid w:val="00236423"/>
    <w:rsid w:val="002377AC"/>
    <w:rsid w:val="00237C1F"/>
    <w:rsid w:val="00242370"/>
    <w:rsid w:val="00275FAF"/>
    <w:rsid w:val="002909C9"/>
    <w:rsid w:val="00291FBA"/>
    <w:rsid w:val="00294CF5"/>
    <w:rsid w:val="00295675"/>
    <w:rsid w:val="002B133F"/>
    <w:rsid w:val="002C38BB"/>
    <w:rsid w:val="002C3E80"/>
    <w:rsid w:val="002D0F09"/>
    <w:rsid w:val="002D47A7"/>
    <w:rsid w:val="002E0202"/>
    <w:rsid w:val="002E2517"/>
    <w:rsid w:val="002E565C"/>
    <w:rsid w:val="002F3665"/>
    <w:rsid w:val="00316054"/>
    <w:rsid w:val="00317BD3"/>
    <w:rsid w:val="00333E5D"/>
    <w:rsid w:val="00341C99"/>
    <w:rsid w:val="00345E9E"/>
    <w:rsid w:val="00346D5D"/>
    <w:rsid w:val="00351EF4"/>
    <w:rsid w:val="00353A6C"/>
    <w:rsid w:val="00373F9B"/>
    <w:rsid w:val="003837E7"/>
    <w:rsid w:val="00392B73"/>
    <w:rsid w:val="00395760"/>
    <w:rsid w:val="00396176"/>
    <w:rsid w:val="003B245E"/>
    <w:rsid w:val="003C4DE7"/>
    <w:rsid w:val="003D35A3"/>
    <w:rsid w:val="003D4A1E"/>
    <w:rsid w:val="003D66F7"/>
    <w:rsid w:val="003E11F1"/>
    <w:rsid w:val="0041052D"/>
    <w:rsid w:val="00416252"/>
    <w:rsid w:val="00420E95"/>
    <w:rsid w:val="00422C25"/>
    <w:rsid w:val="004641F8"/>
    <w:rsid w:val="00487C17"/>
    <w:rsid w:val="00495B04"/>
    <w:rsid w:val="004A5550"/>
    <w:rsid w:val="004C5257"/>
    <w:rsid w:val="004D41D8"/>
    <w:rsid w:val="004E72E0"/>
    <w:rsid w:val="004F3A3B"/>
    <w:rsid w:val="005103E5"/>
    <w:rsid w:val="005273DE"/>
    <w:rsid w:val="00533A34"/>
    <w:rsid w:val="00546B0A"/>
    <w:rsid w:val="00596C79"/>
    <w:rsid w:val="005A00FC"/>
    <w:rsid w:val="005A19EC"/>
    <w:rsid w:val="005B4267"/>
    <w:rsid w:val="005C70A1"/>
    <w:rsid w:val="005D0231"/>
    <w:rsid w:val="005D3818"/>
    <w:rsid w:val="005D4629"/>
    <w:rsid w:val="005E570D"/>
    <w:rsid w:val="005F5413"/>
    <w:rsid w:val="0062182C"/>
    <w:rsid w:val="00621CF3"/>
    <w:rsid w:val="00623AF0"/>
    <w:rsid w:val="006353AA"/>
    <w:rsid w:val="00640580"/>
    <w:rsid w:val="00644A5B"/>
    <w:rsid w:val="00681A26"/>
    <w:rsid w:val="006858ED"/>
    <w:rsid w:val="0068663D"/>
    <w:rsid w:val="006A0764"/>
    <w:rsid w:val="006A0773"/>
    <w:rsid w:val="006A1BA4"/>
    <w:rsid w:val="006C07D6"/>
    <w:rsid w:val="006D1809"/>
    <w:rsid w:val="006F0052"/>
    <w:rsid w:val="006F1320"/>
    <w:rsid w:val="00732B90"/>
    <w:rsid w:val="007403AA"/>
    <w:rsid w:val="007A0262"/>
    <w:rsid w:val="007B4462"/>
    <w:rsid w:val="007B4E2D"/>
    <w:rsid w:val="007D02FE"/>
    <w:rsid w:val="007D2136"/>
    <w:rsid w:val="007D75CD"/>
    <w:rsid w:val="007E1E7D"/>
    <w:rsid w:val="007E2D28"/>
    <w:rsid w:val="00806F20"/>
    <w:rsid w:val="008260F4"/>
    <w:rsid w:val="00840A96"/>
    <w:rsid w:val="00897BBB"/>
    <w:rsid w:val="008A2B04"/>
    <w:rsid w:val="008A4183"/>
    <w:rsid w:val="008A4474"/>
    <w:rsid w:val="008A60CB"/>
    <w:rsid w:val="008C136E"/>
    <w:rsid w:val="008C4F82"/>
    <w:rsid w:val="008E08A1"/>
    <w:rsid w:val="008E4063"/>
    <w:rsid w:val="00901163"/>
    <w:rsid w:val="009379BC"/>
    <w:rsid w:val="00942BAD"/>
    <w:rsid w:val="009449E7"/>
    <w:rsid w:val="0095170D"/>
    <w:rsid w:val="00973E09"/>
    <w:rsid w:val="00976460"/>
    <w:rsid w:val="00985710"/>
    <w:rsid w:val="009A6126"/>
    <w:rsid w:val="009B44A9"/>
    <w:rsid w:val="009B4926"/>
    <w:rsid w:val="009C0BDC"/>
    <w:rsid w:val="009C7259"/>
    <w:rsid w:val="009C7A27"/>
    <w:rsid w:val="009D0218"/>
    <w:rsid w:val="009E5C11"/>
    <w:rsid w:val="00A05B08"/>
    <w:rsid w:val="00A05ECA"/>
    <w:rsid w:val="00A16EE9"/>
    <w:rsid w:val="00A17399"/>
    <w:rsid w:val="00A23DDD"/>
    <w:rsid w:val="00A263C6"/>
    <w:rsid w:val="00A2654E"/>
    <w:rsid w:val="00A50942"/>
    <w:rsid w:val="00A6163A"/>
    <w:rsid w:val="00A667D5"/>
    <w:rsid w:val="00A7670C"/>
    <w:rsid w:val="00A779B1"/>
    <w:rsid w:val="00A95EAE"/>
    <w:rsid w:val="00AA17B4"/>
    <w:rsid w:val="00AD4058"/>
    <w:rsid w:val="00AF3A9D"/>
    <w:rsid w:val="00B0426D"/>
    <w:rsid w:val="00B212E2"/>
    <w:rsid w:val="00B23CB7"/>
    <w:rsid w:val="00B36733"/>
    <w:rsid w:val="00B5502B"/>
    <w:rsid w:val="00B7354D"/>
    <w:rsid w:val="00B76F6E"/>
    <w:rsid w:val="00B975CA"/>
    <w:rsid w:val="00BA118B"/>
    <w:rsid w:val="00BA2C65"/>
    <w:rsid w:val="00BC0AF1"/>
    <w:rsid w:val="00BC4211"/>
    <w:rsid w:val="00BE37F7"/>
    <w:rsid w:val="00BF2B84"/>
    <w:rsid w:val="00BF54DE"/>
    <w:rsid w:val="00C027D8"/>
    <w:rsid w:val="00C158F7"/>
    <w:rsid w:val="00C16969"/>
    <w:rsid w:val="00C761F8"/>
    <w:rsid w:val="00C8658D"/>
    <w:rsid w:val="00CA5F13"/>
    <w:rsid w:val="00CB3A13"/>
    <w:rsid w:val="00CC0D71"/>
    <w:rsid w:val="00CC7520"/>
    <w:rsid w:val="00CD4C99"/>
    <w:rsid w:val="00CD7184"/>
    <w:rsid w:val="00CF029B"/>
    <w:rsid w:val="00D151EA"/>
    <w:rsid w:val="00D302F4"/>
    <w:rsid w:val="00D3039E"/>
    <w:rsid w:val="00D34E03"/>
    <w:rsid w:val="00D36275"/>
    <w:rsid w:val="00D52CC0"/>
    <w:rsid w:val="00D63D0D"/>
    <w:rsid w:val="00D7161B"/>
    <w:rsid w:val="00D7776F"/>
    <w:rsid w:val="00D81B9A"/>
    <w:rsid w:val="00D869AB"/>
    <w:rsid w:val="00E12E3B"/>
    <w:rsid w:val="00E27CCD"/>
    <w:rsid w:val="00E3650A"/>
    <w:rsid w:val="00E50129"/>
    <w:rsid w:val="00E815C1"/>
    <w:rsid w:val="00E87525"/>
    <w:rsid w:val="00E96F3E"/>
    <w:rsid w:val="00EA6C4D"/>
    <w:rsid w:val="00EB4E0D"/>
    <w:rsid w:val="00ED76F3"/>
    <w:rsid w:val="00EE1C8B"/>
    <w:rsid w:val="00EF2040"/>
    <w:rsid w:val="00EF700D"/>
    <w:rsid w:val="00F33820"/>
    <w:rsid w:val="00F42315"/>
    <w:rsid w:val="00F5703C"/>
    <w:rsid w:val="00F70D62"/>
    <w:rsid w:val="00F76DF3"/>
    <w:rsid w:val="00F9313C"/>
    <w:rsid w:val="00F94051"/>
    <w:rsid w:val="00FC0405"/>
    <w:rsid w:val="00FC543F"/>
    <w:rsid w:val="00FD02A3"/>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 w:type="character" w:styleId="Kpr">
    <w:name w:val="Hyperlink"/>
    <w:basedOn w:val="VarsaylanParagrafYazTipi"/>
    <w:uiPriority w:val="99"/>
    <w:rsid w:val="006F005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49780">
      <w:bodyDiv w:val="1"/>
      <w:marLeft w:val="0"/>
      <w:marRight w:val="0"/>
      <w:marTop w:val="0"/>
      <w:marBottom w:val="0"/>
      <w:divBdr>
        <w:top w:val="none" w:sz="0" w:space="0" w:color="auto"/>
        <w:left w:val="none" w:sz="0" w:space="0" w:color="auto"/>
        <w:bottom w:val="none" w:sz="0" w:space="0" w:color="auto"/>
        <w:right w:val="none" w:sz="0" w:space="0" w:color="auto"/>
      </w:divBdr>
    </w:div>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178736842">
      <w:bodyDiv w:val="1"/>
      <w:marLeft w:val="0"/>
      <w:marRight w:val="0"/>
      <w:marTop w:val="0"/>
      <w:marBottom w:val="0"/>
      <w:divBdr>
        <w:top w:val="none" w:sz="0" w:space="0" w:color="auto"/>
        <w:left w:val="none" w:sz="0" w:space="0" w:color="auto"/>
        <w:bottom w:val="none" w:sz="0" w:space="0" w:color="auto"/>
        <w:right w:val="none" w:sz="0" w:space="0" w:color="auto"/>
      </w:divBdr>
    </w:div>
    <w:div w:id="229006089">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52713829">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60103943">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313489056">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1823512">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8295508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6</Pages>
  <Words>1290</Words>
  <Characters>7358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Yiğit KABAALİOĞLU (Hedef Portföy)</cp:lastModifiedBy>
  <cp:revision>89</cp:revision>
  <cp:lastPrinted>2018-01-05T06:32:00Z</cp:lastPrinted>
  <dcterms:created xsi:type="dcterms:W3CDTF">2020-07-06T20:50:00Z</dcterms:created>
  <dcterms:modified xsi:type="dcterms:W3CDTF">2024-07-04T09:24:00Z</dcterms:modified>
</cp:coreProperties>
</file>