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6BA8E" w14:textId="77777777" w:rsidR="001D2026" w:rsidRDefault="001D2026" w:rsidP="001D2026">
      <w:pPr>
        <w:pStyle w:val="Default"/>
        <w:jc w:val="center"/>
      </w:pPr>
    </w:p>
    <w:p w14:paraId="554FAACF" w14:textId="77777777" w:rsidR="001D2026" w:rsidRDefault="001D2026" w:rsidP="001D2026">
      <w:pPr>
        <w:pStyle w:val="Default"/>
        <w:jc w:val="center"/>
      </w:pPr>
    </w:p>
    <w:p w14:paraId="6C589D24" w14:textId="77777777" w:rsidR="001D2026" w:rsidRDefault="001D2026" w:rsidP="001D2026">
      <w:pPr>
        <w:pStyle w:val="Default"/>
        <w:jc w:val="center"/>
      </w:pPr>
    </w:p>
    <w:p w14:paraId="1E915508" w14:textId="77777777" w:rsidR="001D2026" w:rsidRDefault="001D2026" w:rsidP="001D2026">
      <w:pPr>
        <w:pStyle w:val="Default"/>
        <w:jc w:val="center"/>
      </w:pPr>
    </w:p>
    <w:p w14:paraId="4877DD90" w14:textId="77777777" w:rsidR="001D2026" w:rsidRDefault="001D2026" w:rsidP="001D2026">
      <w:pPr>
        <w:pStyle w:val="Default"/>
        <w:jc w:val="center"/>
      </w:pPr>
    </w:p>
    <w:p w14:paraId="397BA5FE" w14:textId="77777777" w:rsidR="001D2026" w:rsidRDefault="001D2026" w:rsidP="001D2026">
      <w:pPr>
        <w:pStyle w:val="Default"/>
        <w:jc w:val="center"/>
      </w:pPr>
    </w:p>
    <w:p w14:paraId="579BE274" w14:textId="77777777" w:rsidR="001D2026" w:rsidRDefault="001D2026" w:rsidP="001D2026">
      <w:pPr>
        <w:pStyle w:val="Default"/>
        <w:jc w:val="center"/>
      </w:pPr>
    </w:p>
    <w:p w14:paraId="124B6C89" w14:textId="77777777" w:rsidR="001D2026" w:rsidRDefault="001D2026" w:rsidP="001D2026">
      <w:pPr>
        <w:pStyle w:val="Default"/>
        <w:jc w:val="center"/>
      </w:pPr>
    </w:p>
    <w:p w14:paraId="728F88ED" w14:textId="77777777" w:rsidR="001D2026" w:rsidRDefault="001D2026" w:rsidP="001D2026">
      <w:pPr>
        <w:pStyle w:val="Default"/>
        <w:jc w:val="center"/>
      </w:pPr>
    </w:p>
    <w:p w14:paraId="0784DF0B" w14:textId="77777777" w:rsidR="001D2026" w:rsidRDefault="001D2026" w:rsidP="001D2026">
      <w:pPr>
        <w:pStyle w:val="Default"/>
        <w:jc w:val="center"/>
      </w:pPr>
    </w:p>
    <w:p w14:paraId="0F6D4EB0" w14:textId="77777777" w:rsidR="001D2026" w:rsidRDefault="001D2026" w:rsidP="001D2026">
      <w:pPr>
        <w:pStyle w:val="Default"/>
        <w:jc w:val="center"/>
      </w:pPr>
    </w:p>
    <w:p w14:paraId="6F70776C" w14:textId="77777777" w:rsidR="001D2026" w:rsidRDefault="001D2026" w:rsidP="001D2026">
      <w:pPr>
        <w:pStyle w:val="Default"/>
        <w:jc w:val="center"/>
      </w:pPr>
    </w:p>
    <w:p w14:paraId="70DDC657" w14:textId="77777777" w:rsidR="001D2026" w:rsidRDefault="001D2026" w:rsidP="001D2026">
      <w:pPr>
        <w:pStyle w:val="Default"/>
        <w:jc w:val="center"/>
      </w:pPr>
    </w:p>
    <w:p w14:paraId="070EF963" w14:textId="77777777" w:rsidR="001D2026" w:rsidRDefault="001D2026" w:rsidP="001D2026">
      <w:pPr>
        <w:pStyle w:val="Default"/>
        <w:jc w:val="center"/>
      </w:pPr>
    </w:p>
    <w:p w14:paraId="6481EF27" w14:textId="77777777" w:rsidR="001D2026" w:rsidRDefault="001D2026" w:rsidP="001D2026">
      <w:pPr>
        <w:pStyle w:val="Default"/>
        <w:jc w:val="center"/>
      </w:pPr>
    </w:p>
    <w:p w14:paraId="67C0A11A" w14:textId="77777777" w:rsidR="001D2026" w:rsidRDefault="001D2026" w:rsidP="001D2026">
      <w:pPr>
        <w:pStyle w:val="Default"/>
        <w:jc w:val="center"/>
      </w:pPr>
    </w:p>
    <w:p w14:paraId="63F15EE6" w14:textId="77777777" w:rsidR="001D2026" w:rsidRDefault="001D2026" w:rsidP="001D2026">
      <w:pPr>
        <w:pStyle w:val="Default"/>
        <w:jc w:val="center"/>
      </w:pPr>
    </w:p>
    <w:p w14:paraId="3DD29271" w14:textId="77777777" w:rsidR="001D2026" w:rsidRDefault="001D2026" w:rsidP="001D2026">
      <w:pPr>
        <w:pStyle w:val="Default"/>
        <w:jc w:val="center"/>
      </w:pPr>
    </w:p>
    <w:p w14:paraId="5248E0AD" w14:textId="77777777" w:rsidR="001D2026" w:rsidRDefault="001D2026" w:rsidP="001D2026">
      <w:pPr>
        <w:pStyle w:val="Default"/>
        <w:jc w:val="center"/>
      </w:pPr>
    </w:p>
    <w:p w14:paraId="50E02EB4" w14:textId="77777777" w:rsidR="001D2026" w:rsidRDefault="001D2026" w:rsidP="001D2026">
      <w:pPr>
        <w:pStyle w:val="Default"/>
        <w:jc w:val="center"/>
      </w:pPr>
    </w:p>
    <w:p w14:paraId="186FECBB" w14:textId="77777777" w:rsidR="001D2026" w:rsidRDefault="001D2026" w:rsidP="001D2026">
      <w:pPr>
        <w:pStyle w:val="Default"/>
        <w:jc w:val="center"/>
      </w:pPr>
    </w:p>
    <w:p w14:paraId="18D99076" w14:textId="77777777" w:rsidR="001D2026" w:rsidRDefault="001D2026" w:rsidP="001D2026">
      <w:pPr>
        <w:pStyle w:val="Default"/>
        <w:jc w:val="center"/>
        <w:rPr>
          <w:rStyle w:val="normaltextrun"/>
          <w:rFonts w:ascii="Arial Narrow" w:eastAsia="Times New Roman" w:hAnsi="Arial Narrow" w:cs="Segoe UI"/>
          <w:b/>
          <w:bCs/>
          <w:color w:val="auto"/>
          <w:sz w:val="22"/>
          <w:szCs w:val="22"/>
          <w:lang w:eastAsia="tr-TR"/>
        </w:rPr>
      </w:pPr>
      <w:r w:rsidRPr="009A2C98">
        <w:rPr>
          <w:rStyle w:val="normaltextrun"/>
          <w:rFonts w:ascii="Arial Narrow" w:eastAsia="Times New Roman" w:hAnsi="Arial Narrow" w:cs="Segoe UI"/>
          <w:b/>
          <w:bCs/>
          <w:color w:val="auto"/>
          <w:sz w:val="22"/>
          <w:szCs w:val="22"/>
          <w:lang w:eastAsia="tr-TR"/>
        </w:rPr>
        <w:t xml:space="preserve">HEDEF PORTFÖY MAVİ HİSSE SENEDİ </w:t>
      </w:r>
    </w:p>
    <w:p w14:paraId="6D87C021" w14:textId="77777777" w:rsidR="001D2026" w:rsidRDefault="001D2026" w:rsidP="001D2026">
      <w:pPr>
        <w:pStyle w:val="Default"/>
        <w:jc w:val="center"/>
        <w:rPr>
          <w:rStyle w:val="normaltextrun"/>
          <w:rFonts w:ascii="Arial Narrow" w:eastAsia="Times New Roman" w:hAnsi="Arial Narrow" w:cs="Segoe UI"/>
          <w:b/>
          <w:bCs/>
          <w:color w:val="auto"/>
          <w:sz w:val="22"/>
          <w:szCs w:val="22"/>
          <w:lang w:eastAsia="tr-TR"/>
        </w:rPr>
      </w:pPr>
      <w:r w:rsidRPr="009A2C98">
        <w:rPr>
          <w:rStyle w:val="normaltextrun"/>
          <w:rFonts w:ascii="Arial Narrow" w:eastAsia="Times New Roman" w:hAnsi="Arial Narrow" w:cs="Segoe UI"/>
          <w:b/>
          <w:bCs/>
          <w:color w:val="auto"/>
          <w:sz w:val="22"/>
          <w:szCs w:val="22"/>
          <w:lang w:eastAsia="tr-TR"/>
        </w:rPr>
        <w:t>SERBEST (TL) FON (HİSSE SENEDİ YOĞUN FON)</w:t>
      </w:r>
    </w:p>
    <w:p w14:paraId="0BE293D9" w14:textId="77777777" w:rsidR="001D2026" w:rsidRPr="00700FDE" w:rsidRDefault="001D2026" w:rsidP="001D2026">
      <w:pPr>
        <w:pStyle w:val="Default"/>
        <w:jc w:val="center"/>
        <w:rPr>
          <w:rFonts w:ascii="Arial Narrow" w:hAnsi="Arial Narrow" w:cstheme="minorBidi"/>
          <w:color w:val="auto"/>
          <w:sz w:val="22"/>
          <w:szCs w:val="22"/>
        </w:rPr>
      </w:pPr>
      <w:r>
        <w:rPr>
          <w:rFonts w:ascii="Arial Narrow" w:hAnsi="Arial Narrow" w:cstheme="minorBidi"/>
          <w:color w:val="auto"/>
          <w:sz w:val="22"/>
          <w:szCs w:val="22"/>
        </w:rPr>
        <w:t>30 HAZİRAN</w:t>
      </w:r>
      <w:r w:rsidRPr="00700FDE">
        <w:rPr>
          <w:rFonts w:ascii="Arial Narrow" w:hAnsi="Arial Narrow" w:cstheme="minorBidi"/>
          <w:color w:val="auto"/>
          <w:sz w:val="22"/>
          <w:szCs w:val="22"/>
        </w:rPr>
        <w:t xml:space="preserve"> 202</w:t>
      </w:r>
      <w:r>
        <w:rPr>
          <w:rFonts w:ascii="Arial Narrow" w:hAnsi="Arial Narrow" w:cstheme="minorBidi"/>
          <w:color w:val="auto"/>
          <w:sz w:val="22"/>
          <w:szCs w:val="22"/>
        </w:rPr>
        <w:t>4</w:t>
      </w:r>
      <w:r w:rsidRPr="00700FDE">
        <w:rPr>
          <w:rFonts w:ascii="Arial Narrow" w:hAnsi="Arial Narrow" w:cstheme="minorBidi"/>
          <w:color w:val="auto"/>
          <w:sz w:val="22"/>
          <w:szCs w:val="22"/>
        </w:rPr>
        <w:t xml:space="preserve"> TARİHİ İTİBARIYLA</w:t>
      </w:r>
    </w:p>
    <w:p w14:paraId="0E4EA801" w14:textId="77777777" w:rsidR="001D2026" w:rsidRPr="00700FDE" w:rsidRDefault="001D2026" w:rsidP="001D2026">
      <w:pPr>
        <w:pStyle w:val="Default"/>
        <w:jc w:val="center"/>
        <w:rPr>
          <w:rFonts w:ascii="Arial Narrow" w:hAnsi="Arial Narrow" w:cstheme="minorBidi"/>
          <w:color w:val="auto"/>
          <w:sz w:val="22"/>
          <w:szCs w:val="22"/>
        </w:rPr>
      </w:pPr>
      <w:r w:rsidRPr="00700FDE">
        <w:rPr>
          <w:rFonts w:ascii="Arial Narrow" w:hAnsi="Arial Narrow" w:cstheme="minorBidi"/>
          <w:color w:val="auto"/>
          <w:sz w:val="22"/>
          <w:szCs w:val="22"/>
        </w:rPr>
        <w:t>YATIRIM PERFORMANSI KONUSUNDA</w:t>
      </w:r>
    </w:p>
    <w:p w14:paraId="7A8FDC5E" w14:textId="77777777" w:rsidR="001D2026" w:rsidRPr="00700FDE" w:rsidRDefault="001D2026" w:rsidP="001D2026">
      <w:pPr>
        <w:tabs>
          <w:tab w:val="left" w:pos="2730"/>
        </w:tabs>
        <w:jc w:val="center"/>
        <w:rPr>
          <w:rFonts w:ascii="Arial Narrow" w:hAnsi="Arial Narrow"/>
        </w:rPr>
      </w:pPr>
      <w:r w:rsidRPr="00700FDE">
        <w:rPr>
          <w:rFonts w:ascii="Arial Narrow" w:hAnsi="Arial Narrow"/>
        </w:rPr>
        <w:t>KAMUYA AÇIKLANAN BİLGİLERE İLİŞKİN RAPOR</w:t>
      </w:r>
    </w:p>
    <w:p w14:paraId="7C05F037" w14:textId="77777777" w:rsidR="001D2026" w:rsidRDefault="001D2026" w:rsidP="001D2026"/>
    <w:p w14:paraId="603D0F99" w14:textId="77777777" w:rsidR="001D2026" w:rsidRDefault="001D2026" w:rsidP="00621CF3">
      <w:pPr>
        <w:spacing w:after="0"/>
        <w:sectPr w:rsidR="001D2026" w:rsidSect="008A60CB">
          <w:headerReference w:type="default" r:id="rId10"/>
          <w:pgSz w:w="11906" w:h="16838"/>
          <w:pgMar w:top="1417" w:right="1417" w:bottom="1417" w:left="1417" w:header="708" w:footer="708" w:gutter="0"/>
          <w:cols w:space="708"/>
          <w:titlePg/>
          <w:docGrid w:linePitch="360"/>
        </w:sectPr>
      </w:pPr>
    </w:p>
    <w:p w14:paraId="3151BFBC"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p>
    <w:p w14:paraId="5217E76A" w14:textId="77777777" w:rsidR="001D2026" w:rsidRDefault="001D2026" w:rsidP="001D202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7A15B68E" w14:textId="77777777" w:rsidR="001D2026" w:rsidRDefault="001D2026" w:rsidP="001D202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2E0958C1" w14:textId="77777777" w:rsidR="001D2026" w:rsidRDefault="001D2026" w:rsidP="001D202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p>
    <w:p w14:paraId="28355FEC" w14:textId="77777777" w:rsidR="001D2026" w:rsidRDefault="001D2026" w:rsidP="001D2026">
      <w:pPr>
        <w:pStyle w:val="paragraph"/>
        <w:spacing w:before="0" w:beforeAutospacing="0" w:after="0" w:afterAutospacing="0"/>
        <w:ind w:right="-1230"/>
        <w:jc w:val="center"/>
        <w:textAlignment w:val="baseline"/>
        <w:rPr>
          <w:rStyle w:val="normaltextrun"/>
          <w:rFonts w:ascii="Arial Narrow" w:hAnsi="Arial Narrow" w:cs="Segoe UI"/>
          <w:b/>
          <w:bCs/>
          <w:sz w:val="22"/>
          <w:szCs w:val="22"/>
        </w:rPr>
      </w:pPr>
      <w:r w:rsidRPr="009A2C98">
        <w:rPr>
          <w:rStyle w:val="normaltextrun"/>
          <w:rFonts w:ascii="Arial Narrow" w:hAnsi="Arial Narrow" w:cs="Segoe UI"/>
          <w:b/>
          <w:bCs/>
          <w:sz w:val="22"/>
          <w:szCs w:val="22"/>
        </w:rPr>
        <w:t>HEDEF PORTFÖY MAVİ HİSSE SENEDİ SERBEST (TL) FON (HİSSE SENEDİ YOĞUN FON)</w:t>
      </w:r>
    </w:p>
    <w:p w14:paraId="22ADA54C" w14:textId="77777777" w:rsidR="001D2026" w:rsidRDefault="001D2026" w:rsidP="001D2026">
      <w:pPr>
        <w:pStyle w:val="paragraph"/>
        <w:spacing w:before="0" w:beforeAutospacing="0" w:after="0" w:afterAutospacing="0"/>
        <w:ind w:right="-1230"/>
        <w:jc w:val="center"/>
        <w:textAlignment w:val="baseline"/>
        <w:rPr>
          <w:rFonts w:ascii="Segoe UI" w:hAnsi="Segoe UI" w:cs="Segoe UI"/>
          <w:sz w:val="18"/>
          <w:szCs w:val="18"/>
        </w:rPr>
      </w:pPr>
      <w:r>
        <w:rPr>
          <w:rStyle w:val="eop"/>
          <w:rFonts w:ascii="Arial Narrow" w:hAnsi="Arial Narrow" w:cs="Segoe UI"/>
          <w:sz w:val="22"/>
          <w:szCs w:val="22"/>
        </w:rPr>
        <w:t> </w:t>
      </w:r>
    </w:p>
    <w:p w14:paraId="7AAB0FCD" w14:textId="77777777" w:rsidR="001D2026" w:rsidRDefault="001D2026" w:rsidP="001D2026">
      <w:pPr>
        <w:pStyle w:val="paragraph"/>
        <w:spacing w:before="0" w:beforeAutospacing="0" w:after="0" w:afterAutospacing="0"/>
        <w:ind w:right="-15"/>
        <w:jc w:val="center"/>
        <w:textAlignment w:val="baseline"/>
        <w:rPr>
          <w:rFonts w:ascii="Segoe UI" w:hAnsi="Segoe UI" w:cs="Segoe UI"/>
          <w:sz w:val="18"/>
          <w:szCs w:val="18"/>
        </w:rPr>
      </w:pPr>
      <w:r>
        <w:rPr>
          <w:rStyle w:val="normaltextrun"/>
          <w:rFonts w:ascii="Arial Narrow" w:hAnsi="Arial Narrow" w:cs="Segoe UI"/>
          <w:b/>
          <w:bCs/>
          <w:sz w:val="22"/>
          <w:szCs w:val="22"/>
        </w:rPr>
        <w:t>Yatırım Performansı Konusunda Kamuya Açıklanan Bilgilere İlişkin Rapor</w:t>
      </w:r>
      <w:r>
        <w:rPr>
          <w:rStyle w:val="eop"/>
          <w:rFonts w:ascii="Arial Narrow" w:hAnsi="Arial Narrow" w:cs="Segoe UI"/>
          <w:sz w:val="22"/>
          <w:szCs w:val="22"/>
        </w:rPr>
        <w:t> </w:t>
      </w:r>
    </w:p>
    <w:p w14:paraId="0F8A1859"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FD4BEF6"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sidRPr="009A2C98">
        <w:rPr>
          <w:rStyle w:val="normaltextrun"/>
          <w:rFonts w:ascii="Arial Narrow" w:hAnsi="Arial Narrow" w:cs="Segoe UI"/>
          <w:sz w:val="22"/>
          <w:szCs w:val="22"/>
        </w:rPr>
        <w:t>Hedef Portföy Mavi Hisse Senedi Serbest (T</w:t>
      </w:r>
      <w:r>
        <w:rPr>
          <w:rStyle w:val="normaltextrun"/>
          <w:rFonts w:ascii="Arial Narrow" w:hAnsi="Arial Narrow" w:cs="Segoe UI"/>
          <w:sz w:val="22"/>
          <w:szCs w:val="22"/>
        </w:rPr>
        <w:t>L</w:t>
      </w:r>
      <w:r w:rsidRPr="009A2C98">
        <w:rPr>
          <w:rStyle w:val="normaltextrun"/>
          <w:rFonts w:ascii="Arial Narrow" w:hAnsi="Arial Narrow" w:cs="Segoe UI"/>
          <w:sz w:val="22"/>
          <w:szCs w:val="22"/>
        </w:rPr>
        <w:t>) Fon (Hisse Senedi Yoğun Fon)</w:t>
      </w:r>
      <w:r>
        <w:rPr>
          <w:rStyle w:val="normaltextrun"/>
          <w:rFonts w:ascii="Arial Narrow" w:hAnsi="Arial Narrow" w:cs="Segoe UI"/>
          <w:sz w:val="22"/>
          <w:szCs w:val="22"/>
        </w:rPr>
        <w:t>’un (“Fon”) 01 Ocak – 30 Haziran 2024 dönemine ait ekteki performans sunuş raporunu Sermaye Piyasa Kurulu’nun VII-128.5 sayılı bireysel Portföylerin ve Kolektif Yatırım Kuruluşların Performans Sunumuna, Performansa Dayalı Ücretlendirmesine Kolektif Yatırım Kuruluşlarını Notlandırma ve Sıralama Faaliyetlerine İlişkin Esaslar Hakkında Tebliğ’inde (“Tebliğ”) yer alan performans sunum standartlarına ilişkin düzenlemeleri çerçevesinde incelemiş bulunuyoruz.</w:t>
      </w:r>
      <w:r>
        <w:rPr>
          <w:rStyle w:val="eop"/>
          <w:rFonts w:ascii="Arial Narrow" w:hAnsi="Arial Narrow" w:cs="Segoe UI"/>
          <w:sz w:val="22"/>
          <w:szCs w:val="22"/>
        </w:rPr>
        <w:t> </w:t>
      </w:r>
    </w:p>
    <w:p w14:paraId="5FAEB8C9"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CF3D38E"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sadece yukarıda belirtilen döneme ait performans sunumunu kapsamaktadır. Bunun dışında kalan dönemler için inceleme yapılmamış ve görüş oluşturulmamıştır.</w:t>
      </w:r>
      <w:r>
        <w:rPr>
          <w:rStyle w:val="eop"/>
          <w:rFonts w:ascii="Arial Narrow" w:hAnsi="Arial Narrow" w:cs="Segoe UI"/>
          <w:sz w:val="22"/>
          <w:szCs w:val="22"/>
        </w:rPr>
        <w:t> </w:t>
      </w:r>
    </w:p>
    <w:p w14:paraId="4107D4F0"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480D9AC"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İncelememiz sonucunda Fon’un 01 Ocak – 30 Haziran 2024 dönemine ait performans sunum raporunun Tebliğ’de belirtilen performans sunum standartlarına ilişkin düzenlemelere uygun hazırlanmadığı ile doğru ve gerçeğe uygun bir görünüm sağlamadığı kanaatine varmamıza sebep olacak herhangi bir tespitimiz bulunmamaktadır.</w:t>
      </w:r>
      <w:r>
        <w:rPr>
          <w:rStyle w:val="eop"/>
          <w:rFonts w:ascii="Arial Narrow" w:hAnsi="Arial Narrow" w:cs="Segoe UI"/>
          <w:sz w:val="22"/>
          <w:szCs w:val="22"/>
        </w:rPr>
        <w:t> </w:t>
      </w:r>
    </w:p>
    <w:p w14:paraId="3E2B7732"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4889F98"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Diğer Husus</w:t>
      </w:r>
      <w:r>
        <w:rPr>
          <w:rStyle w:val="eop"/>
          <w:rFonts w:ascii="Arial Narrow" w:hAnsi="Arial Narrow" w:cs="Segoe UI"/>
          <w:sz w:val="22"/>
          <w:szCs w:val="22"/>
        </w:rPr>
        <w:t> </w:t>
      </w:r>
    </w:p>
    <w:p w14:paraId="285F494F" w14:textId="77777777" w:rsidR="001D2026" w:rsidRDefault="001D2026" w:rsidP="001D2026">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rPr>
        <w:t> </w:t>
      </w:r>
    </w:p>
    <w:p w14:paraId="6A8C334A"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01 Ocak – 30 Haziran 2024 dönemine ait performans sunum raporunda sunulan ve performans bilgisi hesaplamalarına dayanak teşkil eden finansal bilgiler Türkiye Bağımsız Denetim Standartları’na (“BDS”) uygun olarak tam veya sınırlı kapsamlı bağımsız denetime tabi tutulmamıştır</w:t>
      </w:r>
      <w:r>
        <w:rPr>
          <w:rStyle w:val="normaltextrun"/>
          <w:rFonts w:ascii="Calibri" w:hAnsi="Calibri" w:cs="Calibri"/>
          <w:sz w:val="22"/>
          <w:szCs w:val="22"/>
        </w:rPr>
        <w:t>.</w:t>
      </w:r>
      <w:r>
        <w:rPr>
          <w:rStyle w:val="eop"/>
          <w:rFonts w:ascii="Calibri" w:hAnsi="Calibri" w:cs="Calibri"/>
          <w:sz w:val="22"/>
          <w:szCs w:val="22"/>
        </w:rPr>
        <w:t> </w:t>
      </w:r>
    </w:p>
    <w:p w14:paraId="1F9884B0"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9270F82"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2A8AB137"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HSY Danışmanlık ve Bağımsız Denetim A.Ş.</w:t>
      </w:r>
      <w:r>
        <w:rPr>
          <w:rStyle w:val="eop"/>
          <w:rFonts w:ascii="Arial Narrow" w:hAnsi="Arial Narrow" w:cs="Segoe UI"/>
          <w:sz w:val="22"/>
          <w:szCs w:val="22"/>
        </w:rPr>
        <w:t> </w:t>
      </w:r>
    </w:p>
    <w:p w14:paraId="25BD4D4B"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Member of Crowe Global</w:t>
      </w:r>
      <w:r>
        <w:rPr>
          <w:rStyle w:val="eop"/>
          <w:rFonts w:ascii="Arial Narrow" w:hAnsi="Arial Narrow" w:cs="Segoe UI"/>
          <w:sz w:val="22"/>
          <w:szCs w:val="22"/>
        </w:rPr>
        <w:t> </w:t>
      </w:r>
    </w:p>
    <w:p w14:paraId="6A4B0691"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5B47DE16"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F1FE408"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57BF248"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6F0A72DE"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7EE5B01F"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4CA290AB"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Özkan Cengiz</w:t>
      </w:r>
      <w:r>
        <w:rPr>
          <w:rStyle w:val="eop"/>
          <w:rFonts w:ascii="Arial Narrow" w:hAnsi="Arial Narrow" w:cs="Segoe UI"/>
          <w:sz w:val="22"/>
          <w:szCs w:val="22"/>
        </w:rPr>
        <w:t> </w:t>
      </w:r>
    </w:p>
    <w:p w14:paraId="1394D042"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Sorumlu Ortak Baş Denetçi, SMMM</w:t>
      </w:r>
      <w:r>
        <w:rPr>
          <w:rStyle w:val="eop"/>
          <w:rFonts w:ascii="Arial Narrow" w:hAnsi="Arial Narrow" w:cs="Segoe UI"/>
          <w:sz w:val="22"/>
          <w:szCs w:val="22"/>
        </w:rPr>
        <w:t> </w:t>
      </w:r>
    </w:p>
    <w:p w14:paraId="4F06292D"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sz w:val="22"/>
          <w:szCs w:val="22"/>
        </w:rPr>
        <w:t> </w:t>
      </w:r>
    </w:p>
    <w:p w14:paraId="3A667BD7" w14:textId="77777777" w:rsidR="001D2026" w:rsidRDefault="001D2026" w:rsidP="001D2026">
      <w:pPr>
        <w:pStyle w:val="paragraph"/>
        <w:spacing w:before="0" w:beforeAutospacing="0" w:after="0" w:afterAutospacing="0"/>
        <w:jc w:val="both"/>
        <w:textAlignment w:val="baseline"/>
        <w:rPr>
          <w:rFonts w:ascii="Segoe UI" w:hAnsi="Segoe UI" w:cs="Segoe UI"/>
          <w:sz w:val="18"/>
          <w:szCs w:val="18"/>
        </w:rPr>
      </w:pPr>
      <w:r>
        <w:rPr>
          <w:rStyle w:val="normaltextrun"/>
          <w:rFonts w:ascii="Arial Narrow" w:hAnsi="Arial Narrow" w:cs="Segoe UI"/>
          <w:sz w:val="22"/>
          <w:szCs w:val="22"/>
        </w:rPr>
        <w:t xml:space="preserve">İstanbul, </w:t>
      </w:r>
      <w:r>
        <w:rPr>
          <w:rStyle w:val="normaltextrun"/>
          <w:rFonts w:ascii="Arial Narrow" w:hAnsi="Arial Narrow" w:cs="Segoe UI"/>
          <w:sz w:val="22"/>
          <w:szCs w:val="22"/>
          <w:shd w:val="clear" w:color="auto" w:fill="FFFF00"/>
        </w:rPr>
        <w:t>24</w:t>
      </w:r>
      <w:r>
        <w:rPr>
          <w:rStyle w:val="normaltextrun"/>
          <w:rFonts w:ascii="Arial Narrow" w:hAnsi="Arial Narrow" w:cs="Segoe UI"/>
          <w:sz w:val="22"/>
          <w:szCs w:val="22"/>
        </w:rPr>
        <w:t xml:space="preserve"> Temmuz 2024</w:t>
      </w:r>
      <w:r>
        <w:rPr>
          <w:rStyle w:val="eop"/>
          <w:rFonts w:ascii="Arial Narrow" w:hAnsi="Arial Narrow" w:cs="Segoe UI"/>
          <w:sz w:val="22"/>
          <w:szCs w:val="22"/>
        </w:rPr>
        <w:t> </w:t>
      </w:r>
    </w:p>
    <w:p w14:paraId="1E39756C" w14:textId="77777777" w:rsidR="001D2026" w:rsidRDefault="001D2026" w:rsidP="00621CF3">
      <w:pPr>
        <w:spacing w:after="0"/>
        <w:sectPr w:rsidR="001D2026" w:rsidSect="008A60CB">
          <w:headerReference w:type="first" r:id="rId11"/>
          <w:pgSz w:w="11906" w:h="16838"/>
          <w:pgMar w:top="1417" w:right="1417" w:bottom="1417" w:left="1417" w:header="708" w:footer="708" w:gutter="0"/>
          <w:cols w:space="708"/>
          <w:titlePg/>
          <w:docGrid w:linePitch="360"/>
        </w:sectPr>
      </w:pPr>
    </w:p>
    <w:p w14:paraId="40BF73F2" w14:textId="218C4B82" w:rsidR="004E72E0" w:rsidRDefault="004E72E0" w:rsidP="00621CF3">
      <w:pPr>
        <w:spacing w:after="0"/>
      </w:pPr>
    </w:p>
    <w:p w14:paraId="0BCFE8F4" w14:textId="77777777" w:rsidR="006C07D6" w:rsidRDefault="006C07D6" w:rsidP="00621CF3">
      <w:pPr>
        <w:spacing w:after="0"/>
      </w:pPr>
    </w:p>
    <w:p w14:paraId="42288A8B" w14:textId="77777777" w:rsidR="00032E31" w:rsidRDefault="00032E31" w:rsidP="00621CF3">
      <w:pPr>
        <w:spacing w:after="0"/>
      </w:pPr>
    </w:p>
    <w:p w14:paraId="2857CF4A" w14:textId="77777777" w:rsidR="00032E31" w:rsidRDefault="00032E31" w:rsidP="00621CF3">
      <w:pPr>
        <w:spacing w:after="0"/>
      </w:pPr>
    </w:p>
    <w:p w14:paraId="436C91C6" w14:textId="77777777" w:rsidR="001D2026" w:rsidRDefault="001D2026" w:rsidP="00621CF3">
      <w:pPr>
        <w:spacing w:after="0"/>
      </w:pPr>
    </w:p>
    <w:p w14:paraId="37211F5D" w14:textId="77777777" w:rsidR="001D2026" w:rsidRDefault="001D2026" w:rsidP="00621CF3">
      <w:pPr>
        <w:spacing w:after="0"/>
      </w:pPr>
    </w:p>
    <w:p w14:paraId="0CBD02BD" w14:textId="77777777" w:rsidR="001D2026" w:rsidRDefault="001D2026" w:rsidP="00621CF3">
      <w:pPr>
        <w:spacing w:after="0"/>
      </w:pPr>
    </w:p>
    <w:p w14:paraId="4A1EB8DE" w14:textId="77777777" w:rsidR="001D2026" w:rsidRDefault="001D2026" w:rsidP="00621CF3">
      <w:pPr>
        <w:spacing w:after="0"/>
      </w:pPr>
    </w:p>
    <w:p w14:paraId="17A6FCEF" w14:textId="77777777" w:rsidR="001D2026" w:rsidRDefault="001D2026" w:rsidP="00621CF3">
      <w:pPr>
        <w:spacing w:after="0"/>
      </w:pPr>
    </w:p>
    <w:p w14:paraId="7C421FF5" w14:textId="77777777" w:rsidR="001D2026" w:rsidRDefault="001D2026" w:rsidP="00621CF3">
      <w:pPr>
        <w:spacing w:after="0"/>
      </w:pPr>
    </w:p>
    <w:p w14:paraId="0FD0F09E" w14:textId="77777777" w:rsidR="001D2026" w:rsidRDefault="001D2026" w:rsidP="00621CF3">
      <w:pPr>
        <w:spacing w:after="0"/>
      </w:pPr>
    </w:p>
    <w:p w14:paraId="5DABA58E" w14:textId="77777777" w:rsidR="001D2026" w:rsidRDefault="001D2026" w:rsidP="00621CF3">
      <w:pPr>
        <w:spacing w:after="0"/>
      </w:pPr>
    </w:p>
    <w:p w14:paraId="1CFB0F5B" w14:textId="77777777" w:rsidR="001D2026" w:rsidRDefault="001D2026" w:rsidP="00621CF3">
      <w:pPr>
        <w:spacing w:after="0"/>
      </w:pPr>
    </w:p>
    <w:p w14:paraId="6688D692" w14:textId="77777777" w:rsidR="001D2026" w:rsidRDefault="001D2026" w:rsidP="00621CF3">
      <w:pPr>
        <w:spacing w:after="0"/>
      </w:pPr>
    </w:p>
    <w:p w14:paraId="4BB806B9" w14:textId="77777777" w:rsidR="00032E31" w:rsidRDefault="00032E31" w:rsidP="00621CF3">
      <w:pPr>
        <w:spacing w:after="0"/>
      </w:pPr>
    </w:p>
    <w:p w14:paraId="6DE6D3ED" w14:textId="77777777" w:rsidR="00032E31" w:rsidRDefault="00032E31" w:rsidP="00621CF3">
      <w:pPr>
        <w:spacing w:after="0"/>
      </w:pPr>
    </w:p>
    <w:p w14:paraId="4B5D1A71" w14:textId="77777777" w:rsidR="00032E31" w:rsidRDefault="00032E31" w:rsidP="00621CF3">
      <w:pPr>
        <w:spacing w:after="0"/>
      </w:pPr>
    </w:p>
    <w:p w14:paraId="4DCC37E4" w14:textId="77777777" w:rsidR="00032E31" w:rsidRDefault="00032E31" w:rsidP="00621CF3">
      <w:pPr>
        <w:spacing w:after="0"/>
      </w:pPr>
    </w:p>
    <w:p w14:paraId="5BC49243" w14:textId="77777777" w:rsidR="00032E31" w:rsidRDefault="00032E31" w:rsidP="00621CF3">
      <w:pPr>
        <w:spacing w:after="0"/>
      </w:pPr>
    </w:p>
    <w:p w14:paraId="1F2BF9F2" w14:textId="77777777" w:rsidR="006C07D6" w:rsidRDefault="006C07D6" w:rsidP="00621CF3">
      <w:pPr>
        <w:spacing w:after="0"/>
      </w:pPr>
    </w:p>
    <w:p w14:paraId="7774CA71" w14:textId="4A36D771" w:rsidR="002E0B89" w:rsidRPr="00621CF3" w:rsidRDefault="002E0B89" w:rsidP="002E0B89">
      <w:pPr>
        <w:spacing w:after="0"/>
        <w:jc w:val="center"/>
        <w:rPr>
          <w:rFonts w:ascii="Times New Roman" w:hAnsi="Times New Roman" w:cs="Times New Roman"/>
          <w:sz w:val="24"/>
          <w:szCs w:val="24"/>
        </w:rPr>
      </w:pPr>
      <w:r w:rsidRPr="000161C2">
        <w:rPr>
          <w:rFonts w:ascii="Times New Roman" w:hAnsi="Times New Roman" w:cs="Times New Roman"/>
          <w:b/>
          <w:sz w:val="28"/>
          <w:szCs w:val="28"/>
        </w:rPr>
        <w:t xml:space="preserve">HEDEF PORTFÖY </w:t>
      </w:r>
      <w:r>
        <w:rPr>
          <w:rFonts w:ascii="Times New Roman" w:hAnsi="Times New Roman" w:cs="Times New Roman"/>
          <w:b/>
          <w:sz w:val="28"/>
          <w:szCs w:val="28"/>
        </w:rPr>
        <w:t>MAVİ</w:t>
      </w:r>
      <w:r w:rsidRPr="000161C2">
        <w:rPr>
          <w:rFonts w:ascii="Times New Roman" w:hAnsi="Times New Roman" w:cs="Times New Roman"/>
          <w:b/>
          <w:sz w:val="28"/>
          <w:szCs w:val="28"/>
        </w:rPr>
        <w:t xml:space="preserve"> HİSSE SENEDİ SERBEST </w:t>
      </w:r>
      <w:r w:rsidR="0068499E">
        <w:rPr>
          <w:rFonts w:ascii="Times New Roman" w:hAnsi="Times New Roman" w:cs="Times New Roman"/>
          <w:b/>
          <w:sz w:val="28"/>
          <w:szCs w:val="28"/>
        </w:rPr>
        <w:t xml:space="preserve">(TL) </w:t>
      </w:r>
      <w:r w:rsidRPr="000161C2">
        <w:rPr>
          <w:rFonts w:ascii="Times New Roman" w:hAnsi="Times New Roman" w:cs="Times New Roman"/>
          <w:b/>
          <w:sz w:val="28"/>
          <w:szCs w:val="28"/>
        </w:rPr>
        <w:t>FON (HİSSE SENEDİ YOĞUN FON)</w:t>
      </w:r>
    </w:p>
    <w:p w14:paraId="7D7018FF" w14:textId="52E7AF23" w:rsidR="00621CF3" w:rsidRPr="00237C1F" w:rsidRDefault="00E27451" w:rsidP="00621CF3">
      <w:pPr>
        <w:spacing w:after="0"/>
        <w:jc w:val="center"/>
        <w:rPr>
          <w:rFonts w:ascii="Times New Roman" w:hAnsi="Times New Roman" w:cs="Times New Roman"/>
          <w:sz w:val="24"/>
          <w:szCs w:val="24"/>
        </w:rPr>
      </w:pPr>
      <w:r>
        <w:rPr>
          <w:rFonts w:ascii="Times New Roman" w:hAnsi="Times New Roman" w:cs="Times New Roman"/>
          <w:sz w:val="24"/>
          <w:szCs w:val="24"/>
        </w:rPr>
        <w:t>01 OCAK</w:t>
      </w:r>
      <w:r w:rsidR="00CE6762">
        <w:rPr>
          <w:rFonts w:ascii="Times New Roman" w:hAnsi="Times New Roman" w:cs="Times New Roman"/>
          <w:sz w:val="24"/>
          <w:szCs w:val="24"/>
        </w:rPr>
        <w:t xml:space="preserve"> –</w:t>
      </w:r>
      <w:r w:rsidR="000B75DC" w:rsidRPr="000B75DC">
        <w:rPr>
          <w:rFonts w:ascii="Times New Roman" w:hAnsi="Times New Roman" w:cs="Times New Roman"/>
          <w:sz w:val="24"/>
          <w:szCs w:val="24"/>
        </w:rPr>
        <w:t xml:space="preserve">30 HAZİRAN 2024 </w:t>
      </w:r>
      <w:r w:rsidR="00621CF3" w:rsidRPr="00237C1F">
        <w:rPr>
          <w:rFonts w:ascii="Times New Roman" w:hAnsi="Times New Roman" w:cs="Times New Roman"/>
          <w:sz w:val="24"/>
          <w:szCs w:val="24"/>
        </w:rPr>
        <w:t xml:space="preserve">DÖNEMİNE AİT </w:t>
      </w:r>
    </w:p>
    <w:p w14:paraId="507BF98E" w14:textId="0AA59EDA" w:rsidR="00621CF3" w:rsidRDefault="00621CF3" w:rsidP="00621CF3">
      <w:pPr>
        <w:spacing w:after="0"/>
        <w:jc w:val="center"/>
        <w:rPr>
          <w:rFonts w:ascii="Times New Roman" w:hAnsi="Times New Roman" w:cs="Times New Roman"/>
          <w:sz w:val="24"/>
          <w:szCs w:val="24"/>
        </w:rPr>
      </w:pPr>
      <w:r w:rsidRPr="00237C1F">
        <w:rPr>
          <w:rFonts w:ascii="Times New Roman" w:hAnsi="Times New Roman" w:cs="Times New Roman"/>
          <w:sz w:val="24"/>
          <w:szCs w:val="24"/>
        </w:rPr>
        <w:t>PERFORMANS SUNU</w:t>
      </w:r>
      <w:r w:rsidR="007403AA">
        <w:rPr>
          <w:rFonts w:ascii="Times New Roman" w:hAnsi="Times New Roman" w:cs="Times New Roman"/>
          <w:sz w:val="24"/>
          <w:szCs w:val="24"/>
        </w:rPr>
        <w:t>M</w:t>
      </w:r>
      <w:r w:rsidRPr="00237C1F">
        <w:rPr>
          <w:rFonts w:ascii="Times New Roman" w:hAnsi="Times New Roman" w:cs="Times New Roman"/>
          <w:sz w:val="24"/>
          <w:szCs w:val="24"/>
        </w:rPr>
        <w:t xml:space="preserve"> RAPORU</w:t>
      </w:r>
    </w:p>
    <w:p w14:paraId="3F218D6F" w14:textId="77777777" w:rsidR="00621CF3" w:rsidRDefault="00621CF3" w:rsidP="00621CF3">
      <w:pPr>
        <w:spacing w:after="0"/>
        <w:jc w:val="center"/>
        <w:rPr>
          <w:rFonts w:ascii="Times New Roman" w:hAnsi="Times New Roman" w:cs="Times New Roman"/>
          <w:sz w:val="24"/>
          <w:szCs w:val="24"/>
        </w:rPr>
      </w:pPr>
    </w:p>
    <w:p w14:paraId="053BB4CB" w14:textId="77777777" w:rsidR="00621CF3" w:rsidRDefault="00621CF3" w:rsidP="00621CF3">
      <w:pPr>
        <w:spacing w:after="0"/>
        <w:jc w:val="center"/>
        <w:rPr>
          <w:rFonts w:ascii="Times New Roman" w:hAnsi="Times New Roman" w:cs="Times New Roman"/>
          <w:sz w:val="24"/>
          <w:szCs w:val="24"/>
        </w:rPr>
      </w:pPr>
    </w:p>
    <w:p w14:paraId="5E937E93" w14:textId="77777777" w:rsidR="00621CF3" w:rsidRDefault="00621CF3" w:rsidP="00621CF3">
      <w:pPr>
        <w:spacing w:after="0"/>
        <w:jc w:val="center"/>
        <w:rPr>
          <w:rFonts w:ascii="Times New Roman" w:hAnsi="Times New Roman" w:cs="Times New Roman"/>
          <w:sz w:val="24"/>
          <w:szCs w:val="24"/>
        </w:rPr>
      </w:pPr>
    </w:p>
    <w:p w14:paraId="5B6BBB65" w14:textId="77777777" w:rsidR="00621CF3" w:rsidRDefault="00621CF3" w:rsidP="00621CF3">
      <w:pPr>
        <w:spacing w:after="0"/>
        <w:jc w:val="center"/>
        <w:rPr>
          <w:rFonts w:ascii="Times New Roman" w:hAnsi="Times New Roman" w:cs="Times New Roman"/>
          <w:sz w:val="24"/>
          <w:szCs w:val="24"/>
        </w:rPr>
      </w:pPr>
    </w:p>
    <w:p w14:paraId="4F010468" w14:textId="77777777" w:rsidR="00621CF3" w:rsidRDefault="00621CF3" w:rsidP="00621CF3">
      <w:pPr>
        <w:spacing w:after="0"/>
        <w:jc w:val="center"/>
        <w:rPr>
          <w:rFonts w:ascii="Times New Roman" w:hAnsi="Times New Roman" w:cs="Times New Roman"/>
          <w:sz w:val="24"/>
          <w:szCs w:val="24"/>
        </w:rPr>
      </w:pPr>
    </w:p>
    <w:p w14:paraId="7512E724" w14:textId="77777777" w:rsidR="00621CF3" w:rsidRDefault="00621CF3" w:rsidP="00621CF3">
      <w:pPr>
        <w:spacing w:after="0"/>
        <w:jc w:val="center"/>
        <w:rPr>
          <w:rFonts w:ascii="Times New Roman" w:hAnsi="Times New Roman" w:cs="Times New Roman"/>
          <w:sz w:val="24"/>
          <w:szCs w:val="24"/>
        </w:rPr>
      </w:pPr>
    </w:p>
    <w:p w14:paraId="713A365A" w14:textId="77777777" w:rsidR="00621CF3" w:rsidRDefault="00621CF3" w:rsidP="00621CF3">
      <w:pPr>
        <w:spacing w:after="0"/>
        <w:jc w:val="center"/>
        <w:rPr>
          <w:rFonts w:ascii="Times New Roman" w:hAnsi="Times New Roman" w:cs="Times New Roman"/>
          <w:sz w:val="24"/>
          <w:szCs w:val="24"/>
        </w:rPr>
      </w:pPr>
    </w:p>
    <w:p w14:paraId="664E8946" w14:textId="77777777" w:rsidR="00AD4058" w:rsidRDefault="00AD4058" w:rsidP="00621CF3">
      <w:pPr>
        <w:spacing w:after="0"/>
        <w:jc w:val="center"/>
        <w:rPr>
          <w:rFonts w:ascii="Times New Roman" w:hAnsi="Times New Roman" w:cs="Times New Roman"/>
          <w:sz w:val="24"/>
          <w:szCs w:val="24"/>
        </w:rPr>
      </w:pPr>
    </w:p>
    <w:p w14:paraId="6DF53A63" w14:textId="77777777" w:rsidR="00621CF3" w:rsidRDefault="00621CF3" w:rsidP="00621CF3">
      <w:pPr>
        <w:spacing w:after="0"/>
        <w:jc w:val="center"/>
        <w:rPr>
          <w:rFonts w:ascii="Times New Roman" w:hAnsi="Times New Roman" w:cs="Times New Roman"/>
          <w:sz w:val="24"/>
          <w:szCs w:val="24"/>
        </w:rPr>
      </w:pPr>
    </w:p>
    <w:p w14:paraId="2A9C87F1" w14:textId="77777777" w:rsidR="001D2026" w:rsidRDefault="001D2026" w:rsidP="00621CF3">
      <w:pPr>
        <w:spacing w:after="0"/>
        <w:jc w:val="center"/>
        <w:rPr>
          <w:rFonts w:ascii="Times New Roman" w:hAnsi="Times New Roman" w:cs="Times New Roman"/>
          <w:sz w:val="24"/>
          <w:szCs w:val="24"/>
        </w:rPr>
      </w:pPr>
    </w:p>
    <w:p w14:paraId="73CDE0BF" w14:textId="77777777" w:rsidR="00621CF3" w:rsidRDefault="00621CF3" w:rsidP="00621CF3">
      <w:pPr>
        <w:spacing w:after="0"/>
        <w:jc w:val="center"/>
        <w:rPr>
          <w:rFonts w:ascii="Times New Roman" w:hAnsi="Times New Roman" w:cs="Times New Roman"/>
          <w:sz w:val="24"/>
          <w:szCs w:val="24"/>
        </w:rPr>
      </w:pPr>
    </w:p>
    <w:p w14:paraId="3C33F819" w14:textId="77777777" w:rsidR="00621CF3" w:rsidRDefault="00621CF3" w:rsidP="00621CF3">
      <w:pPr>
        <w:spacing w:after="0"/>
        <w:jc w:val="center"/>
        <w:rPr>
          <w:rFonts w:ascii="Times New Roman" w:hAnsi="Times New Roman" w:cs="Times New Roman"/>
          <w:sz w:val="24"/>
          <w:szCs w:val="24"/>
        </w:rPr>
      </w:pPr>
    </w:p>
    <w:p w14:paraId="30C1A289" w14:textId="77777777" w:rsidR="00621CF3" w:rsidRDefault="00621CF3" w:rsidP="00621CF3">
      <w:pPr>
        <w:spacing w:after="0"/>
        <w:jc w:val="center"/>
        <w:rPr>
          <w:rFonts w:ascii="Times New Roman" w:hAnsi="Times New Roman" w:cs="Times New Roman"/>
          <w:sz w:val="24"/>
          <w:szCs w:val="24"/>
        </w:rPr>
      </w:pPr>
    </w:p>
    <w:p w14:paraId="0F85383D" w14:textId="77777777" w:rsidR="00621CF3" w:rsidRDefault="00621CF3" w:rsidP="00621CF3">
      <w:pPr>
        <w:spacing w:after="0"/>
        <w:jc w:val="center"/>
        <w:rPr>
          <w:rFonts w:ascii="Times New Roman" w:hAnsi="Times New Roman" w:cs="Times New Roman"/>
          <w:sz w:val="24"/>
          <w:szCs w:val="24"/>
        </w:rPr>
      </w:pPr>
    </w:p>
    <w:p w14:paraId="04CB472B" w14:textId="77777777" w:rsidR="00621CF3" w:rsidRDefault="00621CF3" w:rsidP="00621CF3">
      <w:pPr>
        <w:spacing w:after="0"/>
        <w:jc w:val="center"/>
        <w:rPr>
          <w:rFonts w:ascii="Times New Roman" w:hAnsi="Times New Roman" w:cs="Times New Roman"/>
          <w:sz w:val="24"/>
          <w:szCs w:val="24"/>
        </w:rPr>
      </w:pPr>
    </w:p>
    <w:p w14:paraId="0575E948" w14:textId="77777777" w:rsidR="00621CF3" w:rsidRDefault="00621CF3" w:rsidP="00621CF3">
      <w:pPr>
        <w:spacing w:after="0"/>
        <w:jc w:val="center"/>
        <w:rPr>
          <w:rFonts w:ascii="Times New Roman" w:hAnsi="Times New Roman" w:cs="Times New Roman"/>
          <w:sz w:val="24"/>
          <w:szCs w:val="24"/>
        </w:rPr>
      </w:pPr>
    </w:p>
    <w:p w14:paraId="17832C86" w14:textId="77777777" w:rsidR="00621CF3" w:rsidRDefault="00621CF3" w:rsidP="00621CF3">
      <w:pPr>
        <w:spacing w:after="0"/>
        <w:jc w:val="center"/>
        <w:rPr>
          <w:rFonts w:ascii="Times New Roman" w:hAnsi="Times New Roman" w:cs="Times New Roman"/>
          <w:sz w:val="24"/>
          <w:szCs w:val="24"/>
        </w:rPr>
      </w:pPr>
    </w:p>
    <w:p w14:paraId="1E4FE174" w14:textId="77777777" w:rsidR="00621CF3" w:rsidRDefault="00621CF3" w:rsidP="00621CF3">
      <w:pPr>
        <w:spacing w:after="0"/>
        <w:jc w:val="center"/>
        <w:rPr>
          <w:rFonts w:ascii="Times New Roman" w:hAnsi="Times New Roman" w:cs="Times New Roman"/>
          <w:sz w:val="24"/>
          <w:szCs w:val="24"/>
        </w:rPr>
      </w:pPr>
    </w:p>
    <w:p w14:paraId="7988F1A2" w14:textId="77777777" w:rsidR="00621CF3" w:rsidRDefault="00621CF3" w:rsidP="00621CF3">
      <w:pPr>
        <w:spacing w:after="0"/>
        <w:jc w:val="center"/>
        <w:rPr>
          <w:rFonts w:ascii="Times New Roman" w:hAnsi="Times New Roman" w:cs="Times New Roman"/>
          <w:sz w:val="24"/>
          <w:szCs w:val="24"/>
        </w:rPr>
      </w:pPr>
    </w:p>
    <w:p w14:paraId="15AAD388" w14:textId="77777777" w:rsidR="00621CF3" w:rsidRDefault="00621CF3" w:rsidP="00621CF3">
      <w:pPr>
        <w:spacing w:after="0"/>
        <w:jc w:val="center"/>
        <w:rPr>
          <w:rFonts w:ascii="Times New Roman" w:hAnsi="Times New Roman" w:cs="Times New Roman"/>
          <w:sz w:val="24"/>
          <w:szCs w:val="24"/>
        </w:rPr>
      </w:pPr>
    </w:p>
    <w:p w14:paraId="09D26B42" w14:textId="77777777" w:rsidR="0068499E" w:rsidRDefault="0068499E" w:rsidP="00621CF3">
      <w:pPr>
        <w:spacing w:after="0"/>
        <w:jc w:val="center"/>
        <w:rPr>
          <w:rFonts w:ascii="Times New Roman" w:hAnsi="Times New Roman" w:cs="Times New Roman"/>
          <w:sz w:val="24"/>
          <w:szCs w:val="24"/>
        </w:rPr>
      </w:pPr>
    </w:p>
    <w:p w14:paraId="5581CFA9" w14:textId="77777777" w:rsidR="00621CF3" w:rsidRDefault="00621CF3" w:rsidP="00621CF3">
      <w:pPr>
        <w:spacing w:after="0"/>
        <w:jc w:val="center"/>
        <w:rPr>
          <w:rFonts w:ascii="Times New Roman" w:hAnsi="Times New Roman" w:cs="Times New Roman"/>
          <w:sz w:val="24"/>
          <w:szCs w:val="24"/>
        </w:rPr>
      </w:pPr>
    </w:p>
    <w:p w14:paraId="70087CA1" w14:textId="77777777" w:rsidR="00621CF3" w:rsidRDefault="00621CF3" w:rsidP="00621CF3">
      <w:pPr>
        <w:spacing w:after="0"/>
        <w:jc w:val="center"/>
        <w:rPr>
          <w:rFonts w:ascii="Times New Roman" w:hAnsi="Times New Roman" w:cs="Times New Roman"/>
          <w:sz w:val="24"/>
          <w:szCs w:val="24"/>
        </w:rPr>
      </w:pPr>
    </w:p>
    <w:p w14:paraId="36772C9F" w14:textId="77777777" w:rsidR="00621CF3" w:rsidRPr="004E6755" w:rsidRDefault="00621CF3" w:rsidP="00621CF3">
      <w:pPr>
        <w:pStyle w:val="ListeParagraf"/>
        <w:numPr>
          <w:ilvl w:val="0"/>
          <w:numId w:val="1"/>
        </w:numPr>
        <w:rPr>
          <w:rFonts w:ascii="Times New Roman" w:hAnsi="Times New Roman" w:cs="Times New Roman"/>
          <w:b/>
          <w:sz w:val="24"/>
          <w:szCs w:val="24"/>
        </w:rPr>
      </w:pPr>
      <w:r w:rsidRPr="004E6755">
        <w:rPr>
          <w:rFonts w:ascii="Times New Roman" w:hAnsi="Times New Roman" w:cs="Times New Roman"/>
          <w:b/>
          <w:sz w:val="24"/>
          <w:szCs w:val="24"/>
        </w:rPr>
        <w:lastRenderedPageBreak/>
        <w:t>TANITICI BİLGİLER</w:t>
      </w:r>
    </w:p>
    <w:tbl>
      <w:tblPr>
        <w:tblStyle w:val="TabloKlavuzu"/>
        <w:tblW w:w="0" w:type="auto"/>
        <w:tblLook w:val="04A0" w:firstRow="1" w:lastRow="0" w:firstColumn="1" w:lastColumn="0" w:noHBand="0" w:noVBand="1"/>
      </w:tblPr>
      <w:tblGrid>
        <w:gridCol w:w="1801"/>
        <w:gridCol w:w="1716"/>
        <w:gridCol w:w="5545"/>
      </w:tblGrid>
      <w:tr w:rsidR="001B1348" w:rsidRPr="00BE37F7" w14:paraId="1687B3A0" w14:textId="77777777" w:rsidTr="00436AAF">
        <w:trPr>
          <w:trHeight w:val="818"/>
        </w:trPr>
        <w:tc>
          <w:tcPr>
            <w:tcW w:w="3539" w:type="dxa"/>
            <w:gridSpan w:val="2"/>
          </w:tcPr>
          <w:p w14:paraId="14F7997E"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PORTFÖYE BAKIŞ</w:t>
            </w:r>
          </w:p>
          <w:p w14:paraId="79C8466B" w14:textId="77777777" w:rsidR="001B1348" w:rsidRPr="00BE37F7" w:rsidRDefault="001B1348" w:rsidP="001B1348">
            <w:pPr>
              <w:jc w:val="center"/>
              <w:rPr>
                <w:rFonts w:ascii="Times New Roman" w:hAnsi="Times New Roman" w:cs="Times New Roman"/>
                <w:sz w:val="24"/>
                <w:szCs w:val="24"/>
              </w:rPr>
            </w:pPr>
            <w:r w:rsidRPr="00BE37F7">
              <w:rPr>
                <w:rFonts w:ascii="Times New Roman" w:hAnsi="Times New Roman" w:cs="Times New Roman"/>
                <w:sz w:val="24"/>
                <w:szCs w:val="24"/>
              </w:rPr>
              <w:t>Fon’un Halka Arz Tarihi:</w:t>
            </w:r>
          </w:p>
          <w:p w14:paraId="13427A4C" w14:textId="1765CEDA" w:rsidR="001B1348" w:rsidRPr="00BE37F7" w:rsidRDefault="002E0B89" w:rsidP="001B1348">
            <w:pPr>
              <w:jc w:val="center"/>
              <w:rPr>
                <w:rFonts w:ascii="Times New Roman" w:hAnsi="Times New Roman" w:cs="Times New Roman"/>
                <w:sz w:val="24"/>
                <w:szCs w:val="24"/>
              </w:rPr>
            </w:pPr>
            <w:r>
              <w:rPr>
                <w:rFonts w:ascii="Times New Roman" w:hAnsi="Times New Roman" w:cs="Times New Roman"/>
                <w:sz w:val="24"/>
                <w:szCs w:val="24"/>
              </w:rPr>
              <w:t>02</w:t>
            </w:r>
            <w:r w:rsidR="00EC15BE">
              <w:rPr>
                <w:rFonts w:ascii="Times New Roman" w:hAnsi="Times New Roman" w:cs="Times New Roman"/>
                <w:sz w:val="24"/>
                <w:szCs w:val="24"/>
              </w:rPr>
              <w:t xml:space="preserve"> </w:t>
            </w:r>
            <w:r>
              <w:rPr>
                <w:rFonts w:ascii="Times New Roman" w:hAnsi="Times New Roman" w:cs="Times New Roman"/>
                <w:sz w:val="24"/>
                <w:szCs w:val="24"/>
              </w:rPr>
              <w:t>Haziran</w:t>
            </w:r>
            <w:r w:rsidR="001B1348" w:rsidRPr="00BE37F7">
              <w:rPr>
                <w:rFonts w:ascii="Times New Roman" w:hAnsi="Times New Roman" w:cs="Times New Roman"/>
                <w:sz w:val="24"/>
                <w:szCs w:val="24"/>
              </w:rPr>
              <w:t xml:space="preserve"> 20</w:t>
            </w:r>
            <w:r w:rsidR="00EC15BE">
              <w:rPr>
                <w:rFonts w:ascii="Times New Roman" w:hAnsi="Times New Roman" w:cs="Times New Roman"/>
                <w:sz w:val="24"/>
                <w:szCs w:val="24"/>
              </w:rPr>
              <w:t>2</w:t>
            </w:r>
            <w:r>
              <w:rPr>
                <w:rFonts w:ascii="Times New Roman" w:hAnsi="Times New Roman" w:cs="Times New Roman"/>
                <w:sz w:val="24"/>
                <w:szCs w:val="24"/>
              </w:rPr>
              <w:t>2</w:t>
            </w:r>
          </w:p>
        </w:tc>
        <w:tc>
          <w:tcPr>
            <w:tcW w:w="5670" w:type="dxa"/>
          </w:tcPr>
          <w:p w14:paraId="785A8029" w14:textId="77777777" w:rsidR="001B1348" w:rsidRPr="00BE37F7" w:rsidRDefault="001B1348" w:rsidP="001B1348">
            <w:pPr>
              <w:jc w:val="center"/>
              <w:rPr>
                <w:rFonts w:ascii="Times New Roman" w:hAnsi="Times New Roman" w:cs="Times New Roman"/>
                <w:b/>
                <w:sz w:val="24"/>
                <w:szCs w:val="24"/>
              </w:rPr>
            </w:pPr>
          </w:p>
          <w:p w14:paraId="42F39AD5"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YATIRIM VE YÖNETİME İLİŞKİN BİLGİLER</w:t>
            </w:r>
          </w:p>
        </w:tc>
      </w:tr>
      <w:tr w:rsidR="001B1348" w:rsidRPr="00BE37F7" w14:paraId="52D08609" w14:textId="77777777" w:rsidTr="00436AAF">
        <w:trPr>
          <w:trHeight w:val="272"/>
        </w:trPr>
        <w:tc>
          <w:tcPr>
            <w:tcW w:w="3539" w:type="dxa"/>
            <w:gridSpan w:val="2"/>
          </w:tcPr>
          <w:p w14:paraId="6F02B738" w14:textId="70C643E4" w:rsidR="001B1348" w:rsidRPr="00BE37F7" w:rsidRDefault="002D41EB" w:rsidP="007D75CD">
            <w:pPr>
              <w:jc w:val="center"/>
              <w:rPr>
                <w:rFonts w:ascii="Times New Roman" w:hAnsi="Times New Roman" w:cs="Times New Roman"/>
                <w:b/>
                <w:sz w:val="24"/>
                <w:szCs w:val="24"/>
              </w:rPr>
            </w:pPr>
            <w:r w:rsidRPr="002D41EB">
              <w:rPr>
                <w:rFonts w:ascii="Times New Roman" w:hAnsi="Times New Roman" w:cs="Times New Roman"/>
                <w:b/>
                <w:sz w:val="24"/>
                <w:szCs w:val="24"/>
              </w:rPr>
              <w:t>30 Haziran 2024 itibariyle</w:t>
            </w:r>
          </w:p>
        </w:tc>
        <w:tc>
          <w:tcPr>
            <w:tcW w:w="5670" w:type="dxa"/>
          </w:tcPr>
          <w:p w14:paraId="563BE517" w14:textId="77777777" w:rsidR="001B1348" w:rsidRPr="00BE37F7" w:rsidRDefault="001B1348" w:rsidP="001B1348">
            <w:pPr>
              <w:jc w:val="center"/>
              <w:rPr>
                <w:rFonts w:ascii="Times New Roman" w:hAnsi="Times New Roman" w:cs="Times New Roman"/>
                <w:b/>
                <w:sz w:val="24"/>
                <w:szCs w:val="24"/>
              </w:rPr>
            </w:pPr>
            <w:r w:rsidRPr="00BE37F7">
              <w:rPr>
                <w:rFonts w:ascii="Times New Roman" w:hAnsi="Times New Roman" w:cs="Times New Roman"/>
                <w:b/>
                <w:sz w:val="24"/>
                <w:szCs w:val="24"/>
              </w:rPr>
              <w:t>Portföy Yöneticileri</w:t>
            </w:r>
          </w:p>
        </w:tc>
      </w:tr>
      <w:tr w:rsidR="001B1348" w:rsidRPr="00BE37F7" w14:paraId="1C4CE836" w14:textId="77777777" w:rsidTr="00436AAF">
        <w:trPr>
          <w:trHeight w:val="546"/>
        </w:trPr>
        <w:tc>
          <w:tcPr>
            <w:tcW w:w="1823" w:type="dxa"/>
          </w:tcPr>
          <w:p w14:paraId="24B2E994" w14:textId="77777777" w:rsidR="001B1348" w:rsidRPr="00BE37F7" w:rsidRDefault="001B1348" w:rsidP="00A05B08">
            <w:pPr>
              <w:rPr>
                <w:rFonts w:ascii="Times New Roman" w:hAnsi="Times New Roman" w:cs="Times New Roman"/>
                <w:sz w:val="24"/>
                <w:szCs w:val="24"/>
              </w:rPr>
            </w:pPr>
            <w:r w:rsidRPr="00BE37F7">
              <w:rPr>
                <w:rFonts w:ascii="Times New Roman" w:hAnsi="Times New Roman" w:cs="Times New Roman"/>
                <w:sz w:val="24"/>
                <w:szCs w:val="24"/>
              </w:rPr>
              <w:t>Fon Toplam Değeri</w:t>
            </w:r>
          </w:p>
        </w:tc>
        <w:tc>
          <w:tcPr>
            <w:tcW w:w="1716" w:type="dxa"/>
          </w:tcPr>
          <w:p w14:paraId="7EB7923A" w14:textId="1498E3EB" w:rsidR="001B1348" w:rsidRPr="00BE37F7" w:rsidRDefault="00BD2A71" w:rsidP="00236423">
            <w:pPr>
              <w:jc w:val="right"/>
              <w:rPr>
                <w:rFonts w:ascii="Times New Roman" w:hAnsi="Times New Roman" w:cs="Times New Roman"/>
                <w:sz w:val="24"/>
                <w:szCs w:val="24"/>
              </w:rPr>
            </w:pPr>
            <w:r w:rsidRPr="00BD2A71">
              <w:rPr>
                <w:rFonts w:ascii="Times New Roman" w:hAnsi="Times New Roman" w:cs="Times New Roman"/>
                <w:sz w:val="24"/>
                <w:szCs w:val="24"/>
              </w:rPr>
              <w:t>155.606.429,63</w:t>
            </w:r>
            <w:r w:rsidR="00436AAF" w:rsidRPr="00436AAF">
              <w:rPr>
                <w:rFonts w:ascii="Times New Roman" w:hAnsi="Times New Roman" w:cs="Times New Roman"/>
                <w:sz w:val="24"/>
                <w:szCs w:val="24"/>
              </w:rPr>
              <w:tab/>
            </w:r>
          </w:p>
        </w:tc>
        <w:tc>
          <w:tcPr>
            <w:tcW w:w="5670" w:type="dxa"/>
          </w:tcPr>
          <w:p w14:paraId="74B65ACA" w14:textId="77777777" w:rsidR="001B1348" w:rsidRDefault="00CF029B" w:rsidP="00CF029B">
            <w:pPr>
              <w:rPr>
                <w:rFonts w:ascii="Times New Roman" w:hAnsi="Times New Roman" w:cs="Times New Roman"/>
                <w:sz w:val="24"/>
                <w:szCs w:val="24"/>
              </w:rPr>
            </w:pPr>
            <w:r>
              <w:rPr>
                <w:rFonts w:ascii="Times New Roman" w:hAnsi="Times New Roman" w:cs="Times New Roman"/>
                <w:sz w:val="24"/>
                <w:szCs w:val="24"/>
              </w:rPr>
              <w:t>Murat Borucu</w:t>
            </w:r>
          </w:p>
          <w:p w14:paraId="6371B580" w14:textId="33F627D3" w:rsidR="00EC15BE" w:rsidRPr="00BE37F7" w:rsidRDefault="00EC15BE" w:rsidP="00CF029B">
            <w:pPr>
              <w:rPr>
                <w:rFonts w:ascii="Times New Roman" w:hAnsi="Times New Roman" w:cs="Times New Roman"/>
                <w:sz w:val="24"/>
                <w:szCs w:val="24"/>
              </w:rPr>
            </w:pPr>
            <w:r>
              <w:rPr>
                <w:rFonts w:ascii="Times New Roman" w:hAnsi="Times New Roman" w:cs="Times New Roman"/>
                <w:sz w:val="24"/>
                <w:szCs w:val="24"/>
              </w:rPr>
              <w:t>Ercan Güner</w:t>
            </w:r>
          </w:p>
        </w:tc>
      </w:tr>
      <w:tr w:rsidR="001B1348" w:rsidRPr="00BE37F7" w14:paraId="49414BC0" w14:textId="77777777" w:rsidTr="00436AAF">
        <w:trPr>
          <w:trHeight w:val="546"/>
        </w:trPr>
        <w:tc>
          <w:tcPr>
            <w:tcW w:w="1823" w:type="dxa"/>
          </w:tcPr>
          <w:p w14:paraId="4D752AFF" w14:textId="77777777" w:rsidR="001B1348" w:rsidRPr="00BE37F7" w:rsidRDefault="001B1348" w:rsidP="00A05B08">
            <w:pPr>
              <w:rPr>
                <w:rFonts w:ascii="Times New Roman" w:hAnsi="Times New Roman" w:cs="Times New Roman"/>
                <w:sz w:val="24"/>
                <w:szCs w:val="24"/>
              </w:rPr>
            </w:pPr>
            <w:r w:rsidRPr="00BE37F7">
              <w:rPr>
                <w:rFonts w:ascii="Times New Roman" w:hAnsi="Times New Roman" w:cs="Times New Roman"/>
                <w:sz w:val="24"/>
                <w:szCs w:val="24"/>
              </w:rPr>
              <w:t>Birim Pay Değeri</w:t>
            </w:r>
          </w:p>
        </w:tc>
        <w:tc>
          <w:tcPr>
            <w:tcW w:w="1716" w:type="dxa"/>
          </w:tcPr>
          <w:p w14:paraId="22FF4823" w14:textId="15F34D5D" w:rsidR="00237C1F" w:rsidRPr="00BE37F7" w:rsidRDefault="00BD2A71" w:rsidP="00236423">
            <w:pPr>
              <w:jc w:val="right"/>
              <w:rPr>
                <w:rFonts w:ascii="Times New Roman" w:hAnsi="Times New Roman" w:cs="Times New Roman"/>
                <w:sz w:val="24"/>
                <w:szCs w:val="24"/>
              </w:rPr>
            </w:pPr>
            <w:r w:rsidRPr="00BD2A71">
              <w:rPr>
                <w:rFonts w:ascii="Times New Roman" w:hAnsi="Times New Roman" w:cs="Times New Roman"/>
                <w:sz w:val="24"/>
                <w:szCs w:val="24"/>
              </w:rPr>
              <w:t>5,949269</w:t>
            </w:r>
          </w:p>
        </w:tc>
        <w:tc>
          <w:tcPr>
            <w:tcW w:w="5670" w:type="dxa"/>
          </w:tcPr>
          <w:p w14:paraId="367F35D7" w14:textId="77777777" w:rsidR="001B1348" w:rsidRPr="00BE37F7" w:rsidRDefault="003D66F7" w:rsidP="003D66F7">
            <w:pPr>
              <w:jc w:val="center"/>
              <w:rPr>
                <w:rFonts w:ascii="Times New Roman" w:hAnsi="Times New Roman" w:cs="Times New Roman"/>
                <w:b/>
                <w:sz w:val="24"/>
                <w:szCs w:val="24"/>
              </w:rPr>
            </w:pPr>
            <w:r w:rsidRPr="00BE37F7">
              <w:rPr>
                <w:rFonts w:ascii="Times New Roman" w:hAnsi="Times New Roman" w:cs="Times New Roman"/>
                <w:b/>
                <w:sz w:val="24"/>
                <w:szCs w:val="24"/>
              </w:rPr>
              <w:t>Fon’un Yatırım Amacı ve Stratejisi</w:t>
            </w:r>
          </w:p>
        </w:tc>
      </w:tr>
      <w:tr w:rsidR="00E50129" w:rsidRPr="00BE37F7" w14:paraId="41F7A0D8" w14:textId="77777777" w:rsidTr="00436AAF">
        <w:trPr>
          <w:trHeight w:val="272"/>
        </w:trPr>
        <w:tc>
          <w:tcPr>
            <w:tcW w:w="1823" w:type="dxa"/>
          </w:tcPr>
          <w:p w14:paraId="6903EC00" w14:textId="77777777" w:rsidR="00E50129" w:rsidRPr="00BE37F7" w:rsidRDefault="00E50129" w:rsidP="00A05B08">
            <w:pPr>
              <w:rPr>
                <w:rFonts w:ascii="Times New Roman" w:hAnsi="Times New Roman" w:cs="Times New Roman"/>
                <w:sz w:val="24"/>
                <w:szCs w:val="24"/>
              </w:rPr>
            </w:pPr>
            <w:r w:rsidRPr="00BE37F7">
              <w:rPr>
                <w:rFonts w:ascii="Times New Roman" w:hAnsi="Times New Roman" w:cs="Times New Roman"/>
                <w:sz w:val="24"/>
                <w:szCs w:val="24"/>
              </w:rPr>
              <w:t>Yatırımcı Sayısı</w:t>
            </w:r>
          </w:p>
        </w:tc>
        <w:tc>
          <w:tcPr>
            <w:tcW w:w="1716" w:type="dxa"/>
          </w:tcPr>
          <w:p w14:paraId="5681A160" w14:textId="710592E9" w:rsidR="00E50129" w:rsidRPr="00BE37F7" w:rsidRDefault="00BD2A71" w:rsidP="003B245E">
            <w:pPr>
              <w:jc w:val="right"/>
              <w:rPr>
                <w:rFonts w:ascii="Times New Roman" w:hAnsi="Times New Roman" w:cs="Times New Roman"/>
                <w:sz w:val="24"/>
                <w:szCs w:val="24"/>
              </w:rPr>
            </w:pPr>
            <w:r>
              <w:rPr>
                <w:rFonts w:ascii="Times New Roman" w:hAnsi="Times New Roman" w:cs="Times New Roman"/>
                <w:sz w:val="24"/>
                <w:szCs w:val="24"/>
              </w:rPr>
              <w:t>12</w:t>
            </w:r>
          </w:p>
        </w:tc>
        <w:tc>
          <w:tcPr>
            <w:tcW w:w="5670" w:type="dxa"/>
            <w:vMerge w:val="restart"/>
          </w:tcPr>
          <w:p w14:paraId="4618D6DC" w14:textId="75EE1F48" w:rsidR="00E50129" w:rsidRPr="003504C6" w:rsidRDefault="0068499E" w:rsidP="003504C6">
            <w:pPr>
              <w:jc w:val="both"/>
              <w:rPr>
                <w:rFonts w:ascii="Times New Roman" w:hAnsi="Times New Roman" w:cs="Times New Roman"/>
                <w:sz w:val="24"/>
                <w:szCs w:val="24"/>
              </w:rPr>
            </w:pPr>
            <w:r w:rsidRPr="0037008A">
              <w:rPr>
                <w:rFonts w:ascii="Times New Roman" w:eastAsia="Times New Roman" w:hAnsi="Times New Roman"/>
                <w:bCs/>
                <w:color w:val="000000"/>
                <w:sz w:val="24"/>
                <w:szCs w:val="24"/>
              </w:rPr>
              <w:t xml:space="preserve">Fon’un hisse senedi yoğun fon olması nedeniyle </w:t>
            </w:r>
            <w:r w:rsidRPr="0037008A">
              <w:rPr>
                <w:rFonts w:ascii="Times New Roman" w:eastAsia="Times New Roman" w:hAnsi="Times New Roman"/>
                <w:bCs/>
                <w:sz w:val="24"/>
                <w:szCs w:val="24"/>
              </w:rPr>
              <w:t>Fon portföy değerinin en az %80’i devamlı olarak yerli ihraççıların ortaklık paylarına ve bu paylardan oluşan endeksleri takip etmek üzere kurulan yerli borsa yatırım fonları katılma paylarına yatırılır. Hisse senedi yoğun fonların portföylerinde yer alan ihraççı paylarına ve pay endekslerine dayalı olarak yapılan vadeli işlem sözleşmelerinin nakit teminatları, ihraççı paylarına ve pay endekslerine dayalı opsiyon sözleşmelerinin primleri, borsada işlem gören ihraççı paylarına ve pay endekslerine dayalı aracı kuruluş varantları ve ihraççı paylarından oluşan endeksleri 27/11/2013 tarihli ve 28834 sayılı Resmî Gazete’de yayımlanan (III-52.2) Borsa Yatırım Fonlarına İlişkin Esaslar Tebliği’nin 5 inci maddesinin dördüncü fıkrasının (a) bendi kapsamında takip etmek üzere kurulan borsa yatırım fonları katılma payları %80’lik oranın hesaplanmasına dahil edilir</w:t>
            </w:r>
          </w:p>
        </w:tc>
      </w:tr>
      <w:tr w:rsidR="00E50129" w:rsidRPr="00BE37F7" w14:paraId="1F67F208" w14:textId="77777777" w:rsidTr="00436AAF">
        <w:trPr>
          <w:trHeight w:val="546"/>
        </w:trPr>
        <w:tc>
          <w:tcPr>
            <w:tcW w:w="1823" w:type="dxa"/>
          </w:tcPr>
          <w:p w14:paraId="53E26006" w14:textId="77777777" w:rsidR="00E50129" w:rsidRPr="00BE37F7" w:rsidRDefault="00E50129" w:rsidP="00A05B08">
            <w:pPr>
              <w:rPr>
                <w:rFonts w:ascii="Times New Roman" w:hAnsi="Times New Roman" w:cs="Times New Roman"/>
                <w:sz w:val="24"/>
                <w:szCs w:val="24"/>
              </w:rPr>
            </w:pPr>
            <w:r w:rsidRPr="00BE37F7">
              <w:rPr>
                <w:rFonts w:ascii="Times New Roman" w:hAnsi="Times New Roman" w:cs="Times New Roman"/>
                <w:sz w:val="24"/>
                <w:szCs w:val="24"/>
              </w:rPr>
              <w:t>Tedavül Oranı (%)</w:t>
            </w:r>
          </w:p>
        </w:tc>
        <w:tc>
          <w:tcPr>
            <w:tcW w:w="1716" w:type="dxa"/>
          </w:tcPr>
          <w:p w14:paraId="2E8AB30D" w14:textId="684A3DEB" w:rsidR="00E50129" w:rsidRPr="00BE37F7" w:rsidRDefault="00177571" w:rsidP="00236423">
            <w:pPr>
              <w:jc w:val="right"/>
              <w:rPr>
                <w:rFonts w:ascii="Times New Roman" w:hAnsi="Times New Roman" w:cs="Times New Roman"/>
                <w:sz w:val="24"/>
                <w:szCs w:val="24"/>
              </w:rPr>
            </w:pPr>
            <w:r>
              <w:rPr>
                <w:rFonts w:ascii="Times New Roman" w:hAnsi="Times New Roman" w:cs="Times New Roman"/>
                <w:sz w:val="24"/>
                <w:szCs w:val="24"/>
              </w:rPr>
              <w:t>4,36</w:t>
            </w:r>
          </w:p>
        </w:tc>
        <w:tc>
          <w:tcPr>
            <w:tcW w:w="5670" w:type="dxa"/>
            <w:vMerge/>
          </w:tcPr>
          <w:p w14:paraId="1A03D0A4" w14:textId="77777777" w:rsidR="00E50129" w:rsidRPr="00BE37F7" w:rsidRDefault="00E50129" w:rsidP="00E50129">
            <w:pPr>
              <w:jc w:val="both"/>
              <w:rPr>
                <w:rFonts w:ascii="Times New Roman" w:hAnsi="Times New Roman" w:cs="Times New Roman"/>
                <w:sz w:val="24"/>
                <w:szCs w:val="24"/>
              </w:rPr>
            </w:pPr>
          </w:p>
        </w:tc>
      </w:tr>
      <w:tr w:rsidR="00E50129" w:rsidRPr="00BE37F7" w14:paraId="1F1227F2" w14:textId="77777777" w:rsidTr="00436AAF">
        <w:trPr>
          <w:trHeight w:val="272"/>
        </w:trPr>
        <w:tc>
          <w:tcPr>
            <w:tcW w:w="3539" w:type="dxa"/>
            <w:gridSpan w:val="2"/>
          </w:tcPr>
          <w:p w14:paraId="71BCD733" w14:textId="77777777" w:rsidR="00E50129" w:rsidRPr="00BE37F7" w:rsidRDefault="00E50129" w:rsidP="003D66F7">
            <w:pPr>
              <w:jc w:val="center"/>
              <w:rPr>
                <w:rFonts w:ascii="Times New Roman" w:hAnsi="Times New Roman" w:cs="Times New Roman"/>
                <w:b/>
                <w:sz w:val="24"/>
                <w:szCs w:val="24"/>
              </w:rPr>
            </w:pPr>
            <w:r w:rsidRPr="00BE37F7">
              <w:rPr>
                <w:rFonts w:ascii="Times New Roman" w:hAnsi="Times New Roman" w:cs="Times New Roman"/>
                <w:b/>
                <w:sz w:val="24"/>
                <w:szCs w:val="24"/>
              </w:rPr>
              <w:t>Portföy Dağılımı (%)</w:t>
            </w:r>
          </w:p>
        </w:tc>
        <w:tc>
          <w:tcPr>
            <w:tcW w:w="5670" w:type="dxa"/>
            <w:vMerge/>
          </w:tcPr>
          <w:p w14:paraId="7498A580" w14:textId="77777777" w:rsidR="00E50129" w:rsidRPr="00BE37F7" w:rsidRDefault="00E50129" w:rsidP="00E50129">
            <w:pPr>
              <w:jc w:val="both"/>
              <w:rPr>
                <w:rFonts w:ascii="Times New Roman" w:hAnsi="Times New Roman" w:cs="Times New Roman"/>
                <w:sz w:val="24"/>
                <w:szCs w:val="24"/>
              </w:rPr>
            </w:pPr>
          </w:p>
        </w:tc>
      </w:tr>
      <w:tr w:rsidR="00F70D62" w:rsidRPr="00BE37F7" w14:paraId="55CA7771" w14:textId="77777777" w:rsidTr="00436AAF">
        <w:trPr>
          <w:trHeight w:val="261"/>
        </w:trPr>
        <w:tc>
          <w:tcPr>
            <w:tcW w:w="1823" w:type="dxa"/>
          </w:tcPr>
          <w:p w14:paraId="16933FEA" w14:textId="77777777" w:rsidR="00F70D62" w:rsidRPr="00BE37F7" w:rsidRDefault="00F70D62" w:rsidP="00A05B08">
            <w:pPr>
              <w:rPr>
                <w:rFonts w:ascii="Times New Roman" w:hAnsi="Times New Roman" w:cs="Times New Roman"/>
                <w:sz w:val="24"/>
                <w:szCs w:val="24"/>
              </w:rPr>
            </w:pPr>
            <w:r w:rsidRPr="00BE37F7">
              <w:rPr>
                <w:rFonts w:ascii="Times New Roman" w:hAnsi="Times New Roman" w:cs="Times New Roman"/>
                <w:sz w:val="24"/>
                <w:szCs w:val="24"/>
              </w:rPr>
              <w:t>Paylar</w:t>
            </w:r>
          </w:p>
        </w:tc>
        <w:tc>
          <w:tcPr>
            <w:tcW w:w="1716" w:type="dxa"/>
          </w:tcPr>
          <w:p w14:paraId="2A07B50C" w14:textId="756C9EF0" w:rsidR="00F70D62" w:rsidRPr="00BE37F7" w:rsidRDefault="0068499E" w:rsidP="006E0AB0">
            <w:pPr>
              <w:rPr>
                <w:rFonts w:ascii="Times New Roman" w:hAnsi="Times New Roman" w:cs="Times New Roman"/>
                <w:sz w:val="24"/>
                <w:szCs w:val="24"/>
              </w:rPr>
            </w:pPr>
            <w:r>
              <w:rPr>
                <w:rFonts w:ascii="Times New Roman" w:hAnsi="Times New Roman" w:cs="Times New Roman"/>
                <w:sz w:val="24"/>
                <w:szCs w:val="24"/>
              </w:rPr>
              <w:t>9</w:t>
            </w:r>
            <w:r w:rsidR="00AF3154">
              <w:rPr>
                <w:rFonts w:ascii="Times New Roman" w:hAnsi="Times New Roman" w:cs="Times New Roman"/>
                <w:sz w:val="24"/>
                <w:szCs w:val="24"/>
              </w:rPr>
              <w:t>9,98</w:t>
            </w:r>
          </w:p>
        </w:tc>
        <w:tc>
          <w:tcPr>
            <w:tcW w:w="5670" w:type="dxa"/>
            <w:vMerge/>
          </w:tcPr>
          <w:p w14:paraId="04B95A51" w14:textId="77777777" w:rsidR="00F70D62" w:rsidRPr="00BE37F7" w:rsidRDefault="00F70D62" w:rsidP="00A05B08">
            <w:pPr>
              <w:rPr>
                <w:rFonts w:ascii="Times New Roman" w:hAnsi="Times New Roman" w:cs="Times New Roman"/>
                <w:sz w:val="24"/>
                <w:szCs w:val="24"/>
              </w:rPr>
            </w:pPr>
          </w:p>
        </w:tc>
      </w:tr>
      <w:tr w:rsidR="00B801DE" w:rsidRPr="00BE37F7" w14:paraId="6A2AD024" w14:textId="77777777" w:rsidTr="00436AAF">
        <w:trPr>
          <w:trHeight w:val="261"/>
        </w:trPr>
        <w:tc>
          <w:tcPr>
            <w:tcW w:w="1823" w:type="dxa"/>
          </w:tcPr>
          <w:p w14:paraId="752F6CA9" w14:textId="657E1831" w:rsidR="00B801DE" w:rsidRPr="00BE37F7" w:rsidRDefault="00B801DE" w:rsidP="00A05B08">
            <w:pPr>
              <w:rPr>
                <w:rFonts w:ascii="Times New Roman" w:hAnsi="Times New Roman" w:cs="Times New Roman"/>
                <w:sz w:val="24"/>
                <w:szCs w:val="24"/>
              </w:rPr>
            </w:pPr>
            <w:r>
              <w:rPr>
                <w:rFonts w:ascii="Times New Roman" w:hAnsi="Times New Roman" w:cs="Times New Roman"/>
                <w:sz w:val="24"/>
                <w:szCs w:val="24"/>
              </w:rPr>
              <w:t>Yatırım Fonu</w:t>
            </w:r>
          </w:p>
        </w:tc>
        <w:tc>
          <w:tcPr>
            <w:tcW w:w="1716" w:type="dxa"/>
          </w:tcPr>
          <w:p w14:paraId="37688C13" w14:textId="58879F66" w:rsidR="00B801DE" w:rsidRDefault="00AF3154" w:rsidP="006E0AB0">
            <w:pPr>
              <w:rPr>
                <w:rFonts w:ascii="Times New Roman" w:hAnsi="Times New Roman" w:cs="Times New Roman"/>
                <w:sz w:val="24"/>
                <w:szCs w:val="24"/>
              </w:rPr>
            </w:pPr>
            <w:r>
              <w:rPr>
                <w:rFonts w:ascii="Times New Roman" w:hAnsi="Times New Roman" w:cs="Times New Roman"/>
                <w:sz w:val="24"/>
                <w:szCs w:val="24"/>
              </w:rPr>
              <w:t>0,02</w:t>
            </w:r>
          </w:p>
        </w:tc>
        <w:tc>
          <w:tcPr>
            <w:tcW w:w="5670" w:type="dxa"/>
            <w:vMerge/>
          </w:tcPr>
          <w:p w14:paraId="40D29855" w14:textId="77777777" w:rsidR="00B801DE" w:rsidRPr="00BE37F7" w:rsidRDefault="00B801DE" w:rsidP="00A05B08">
            <w:pPr>
              <w:rPr>
                <w:rFonts w:ascii="Times New Roman" w:hAnsi="Times New Roman" w:cs="Times New Roman"/>
                <w:sz w:val="24"/>
                <w:szCs w:val="24"/>
              </w:rPr>
            </w:pPr>
          </w:p>
        </w:tc>
      </w:tr>
      <w:tr w:rsidR="00E50129" w:rsidRPr="00BE37F7" w14:paraId="14327E3C" w14:textId="77777777" w:rsidTr="00436AAF">
        <w:trPr>
          <w:trHeight w:val="272"/>
        </w:trPr>
        <w:tc>
          <w:tcPr>
            <w:tcW w:w="3539" w:type="dxa"/>
            <w:gridSpan w:val="2"/>
            <w:tcBorders>
              <w:top w:val="single" w:sz="4" w:space="0" w:color="auto"/>
              <w:left w:val="single" w:sz="4" w:space="0" w:color="auto"/>
              <w:bottom w:val="nil"/>
              <w:right w:val="single" w:sz="4" w:space="0" w:color="auto"/>
            </w:tcBorders>
          </w:tcPr>
          <w:p w14:paraId="214E80FB" w14:textId="77777777" w:rsidR="00E50129" w:rsidRPr="00BE37F7" w:rsidRDefault="00E50129" w:rsidP="00A05B08">
            <w:pPr>
              <w:rPr>
                <w:rFonts w:ascii="Times New Roman" w:hAnsi="Times New Roman" w:cs="Times New Roman"/>
                <w:b/>
                <w:sz w:val="24"/>
                <w:szCs w:val="24"/>
              </w:rPr>
            </w:pPr>
          </w:p>
        </w:tc>
        <w:tc>
          <w:tcPr>
            <w:tcW w:w="5670" w:type="dxa"/>
            <w:vMerge/>
            <w:tcBorders>
              <w:left w:val="single" w:sz="4" w:space="0" w:color="auto"/>
            </w:tcBorders>
          </w:tcPr>
          <w:p w14:paraId="5BB6F06D" w14:textId="77777777" w:rsidR="00E50129" w:rsidRPr="00BE37F7" w:rsidRDefault="00E50129" w:rsidP="00A05B08">
            <w:pPr>
              <w:rPr>
                <w:rFonts w:ascii="Times New Roman" w:hAnsi="Times New Roman" w:cs="Times New Roman"/>
                <w:sz w:val="24"/>
                <w:szCs w:val="24"/>
              </w:rPr>
            </w:pPr>
          </w:p>
        </w:tc>
      </w:tr>
      <w:tr w:rsidR="00E50129" w:rsidRPr="00BE37F7" w14:paraId="2C140DCB" w14:textId="77777777" w:rsidTr="00436AAF">
        <w:trPr>
          <w:trHeight w:val="484"/>
        </w:trPr>
        <w:tc>
          <w:tcPr>
            <w:tcW w:w="1823" w:type="dxa"/>
            <w:tcBorders>
              <w:top w:val="nil"/>
              <w:left w:val="single" w:sz="4" w:space="0" w:color="auto"/>
              <w:bottom w:val="single" w:sz="4" w:space="0" w:color="auto"/>
              <w:right w:val="nil"/>
            </w:tcBorders>
          </w:tcPr>
          <w:p w14:paraId="576813CE" w14:textId="6770551B" w:rsidR="0023421B" w:rsidRDefault="0023421B" w:rsidP="0023421B">
            <w:pPr>
              <w:rPr>
                <w:rFonts w:ascii="SansSerif" w:hAnsi="SansSerif" w:cs="Calibri"/>
                <w:b/>
                <w:bCs/>
                <w:color w:val="000000"/>
                <w:sz w:val="20"/>
                <w:szCs w:val="20"/>
                <w:u w:val="single"/>
              </w:rPr>
            </w:pPr>
          </w:p>
          <w:p w14:paraId="70218834" w14:textId="1FEED5C2" w:rsidR="00E50129" w:rsidRPr="00BE37F7" w:rsidRDefault="00E50129" w:rsidP="0023421B">
            <w:pPr>
              <w:rPr>
                <w:rFonts w:ascii="Times New Roman" w:hAnsi="Times New Roman" w:cs="Times New Roman"/>
                <w:sz w:val="24"/>
                <w:szCs w:val="24"/>
              </w:rPr>
            </w:pPr>
          </w:p>
        </w:tc>
        <w:tc>
          <w:tcPr>
            <w:tcW w:w="1716" w:type="dxa"/>
            <w:tcBorders>
              <w:top w:val="nil"/>
              <w:left w:val="nil"/>
              <w:bottom w:val="single" w:sz="4" w:space="0" w:color="auto"/>
              <w:right w:val="single" w:sz="4" w:space="0" w:color="auto"/>
            </w:tcBorders>
          </w:tcPr>
          <w:p w14:paraId="51732CE0" w14:textId="77777777" w:rsidR="00E50129" w:rsidRPr="00BE37F7" w:rsidRDefault="00E50129" w:rsidP="00E50129">
            <w:pPr>
              <w:jc w:val="right"/>
              <w:rPr>
                <w:rFonts w:ascii="Times New Roman" w:hAnsi="Times New Roman" w:cs="Times New Roman"/>
                <w:sz w:val="24"/>
                <w:szCs w:val="24"/>
              </w:rPr>
            </w:pPr>
          </w:p>
        </w:tc>
        <w:tc>
          <w:tcPr>
            <w:tcW w:w="5670" w:type="dxa"/>
            <w:vMerge/>
            <w:tcBorders>
              <w:left w:val="single" w:sz="4" w:space="0" w:color="auto"/>
            </w:tcBorders>
          </w:tcPr>
          <w:p w14:paraId="4A8D5C20" w14:textId="77777777" w:rsidR="00E50129" w:rsidRPr="00BE37F7" w:rsidRDefault="00E50129" w:rsidP="00A05B08">
            <w:pPr>
              <w:rPr>
                <w:rFonts w:ascii="Times New Roman" w:hAnsi="Times New Roman" w:cs="Times New Roman"/>
                <w:sz w:val="24"/>
                <w:szCs w:val="24"/>
              </w:rPr>
            </w:pPr>
          </w:p>
        </w:tc>
      </w:tr>
      <w:tr w:rsidR="00D52CC0" w:rsidRPr="00BE37F7" w14:paraId="01C9D9AB" w14:textId="77777777" w:rsidTr="00436AAF">
        <w:trPr>
          <w:trHeight w:val="272"/>
        </w:trPr>
        <w:tc>
          <w:tcPr>
            <w:tcW w:w="9209" w:type="dxa"/>
            <w:gridSpan w:val="3"/>
          </w:tcPr>
          <w:p w14:paraId="1861FA3E" w14:textId="1CC6D1C6" w:rsidR="00D52CC0" w:rsidRPr="00BE37F7" w:rsidRDefault="00D52CC0" w:rsidP="00D52CC0">
            <w:pPr>
              <w:jc w:val="center"/>
              <w:rPr>
                <w:rFonts w:ascii="Times New Roman" w:hAnsi="Times New Roman" w:cs="Times New Roman"/>
                <w:sz w:val="24"/>
                <w:szCs w:val="24"/>
              </w:rPr>
            </w:pPr>
            <w:r w:rsidRPr="00BE37F7">
              <w:rPr>
                <w:rFonts w:ascii="Times New Roman" w:hAnsi="Times New Roman" w:cs="Times New Roman"/>
                <w:sz w:val="24"/>
                <w:szCs w:val="24"/>
              </w:rPr>
              <w:t xml:space="preserve">En Az Alınabilir Pay </w:t>
            </w:r>
            <w:r w:rsidR="00A17399" w:rsidRPr="00BE37F7">
              <w:rPr>
                <w:rFonts w:ascii="Times New Roman" w:hAnsi="Times New Roman" w:cs="Times New Roman"/>
                <w:sz w:val="24"/>
                <w:szCs w:val="24"/>
              </w:rPr>
              <w:t>Adedi:</w:t>
            </w:r>
            <w:r w:rsidRPr="00BE37F7">
              <w:rPr>
                <w:rFonts w:ascii="Times New Roman" w:hAnsi="Times New Roman" w:cs="Times New Roman"/>
                <w:sz w:val="24"/>
                <w:szCs w:val="24"/>
              </w:rPr>
              <w:t xml:space="preserve"> 1 Adet</w:t>
            </w:r>
          </w:p>
        </w:tc>
      </w:tr>
    </w:tbl>
    <w:p w14:paraId="37B030FD" w14:textId="77777777" w:rsidR="00621CF3" w:rsidRDefault="00621CF3" w:rsidP="00A05B08">
      <w:pPr>
        <w:spacing w:after="0"/>
        <w:rPr>
          <w:rFonts w:ascii="Times New Roman" w:hAnsi="Times New Roman" w:cs="Times New Roman"/>
          <w:sz w:val="24"/>
          <w:szCs w:val="24"/>
        </w:rPr>
      </w:pPr>
    </w:p>
    <w:p w14:paraId="7D5438C5" w14:textId="77777777" w:rsidR="00621CF3" w:rsidRDefault="00621CF3" w:rsidP="00CE6762">
      <w:pPr>
        <w:spacing w:after="0"/>
        <w:rPr>
          <w:rFonts w:ascii="Times New Roman" w:hAnsi="Times New Roman" w:cs="Times New Roman"/>
          <w:sz w:val="24"/>
          <w:szCs w:val="24"/>
        </w:rPr>
      </w:pPr>
    </w:p>
    <w:p w14:paraId="2312CCC3" w14:textId="77777777" w:rsidR="00106889" w:rsidRDefault="00106889" w:rsidP="00621CF3">
      <w:pPr>
        <w:spacing w:after="0"/>
        <w:jc w:val="center"/>
        <w:rPr>
          <w:rFonts w:ascii="Times New Roman" w:hAnsi="Times New Roman" w:cs="Times New Roman"/>
          <w:sz w:val="24"/>
          <w:szCs w:val="24"/>
        </w:rPr>
      </w:pPr>
    </w:p>
    <w:p w14:paraId="23461D99" w14:textId="77777777" w:rsidR="00973E09" w:rsidRPr="002E685D" w:rsidRDefault="00973E09" w:rsidP="00973E09">
      <w:pPr>
        <w:pStyle w:val="ListeParagraf"/>
        <w:numPr>
          <w:ilvl w:val="0"/>
          <w:numId w:val="1"/>
        </w:numPr>
        <w:rPr>
          <w:rFonts w:ascii="Times New Roman" w:hAnsi="Times New Roman" w:cs="Times New Roman"/>
          <w:b/>
          <w:sz w:val="24"/>
          <w:szCs w:val="24"/>
        </w:rPr>
      </w:pPr>
      <w:r w:rsidRPr="002E685D">
        <w:rPr>
          <w:rFonts w:ascii="Times New Roman" w:hAnsi="Times New Roman" w:cs="Times New Roman"/>
          <w:b/>
          <w:sz w:val="24"/>
          <w:szCs w:val="24"/>
        </w:rPr>
        <w:t>PERFORMANS BİLGİSİ</w:t>
      </w:r>
    </w:p>
    <w:tbl>
      <w:tblPr>
        <w:tblW w:w="9107" w:type="dxa"/>
        <w:tblInd w:w="75" w:type="dxa"/>
        <w:tblCellMar>
          <w:left w:w="70" w:type="dxa"/>
          <w:right w:w="70" w:type="dxa"/>
        </w:tblCellMar>
        <w:tblLook w:val="04A0" w:firstRow="1" w:lastRow="0" w:firstColumn="1" w:lastColumn="0" w:noHBand="0" w:noVBand="1"/>
      </w:tblPr>
      <w:tblGrid>
        <w:gridCol w:w="823"/>
        <w:gridCol w:w="746"/>
        <w:gridCol w:w="1411"/>
        <w:gridCol w:w="1112"/>
        <w:gridCol w:w="1122"/>
        <w:gridCol w:w="1210"/>
        <w:gridCol w:w="781"/>
        <w:gridCol w:w="1902"/>
      </w:tblGrid>
      <w:tr w:rsidR="00AC30F1" w:rsidRPr="00AC30F1" w14:paraId="56ADE050" w14:textId="77777777" w:rsidTr="00AC30F1">
        <w:trPr>
          <w:trHeight w:val="1110"/>
        </w:trPr>
        <w:tc>
          <w:tcPr>
            <w:tcW w:w="8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F270C0"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Yıllar</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79DC2447"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Toplam Getiri (%)</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14:paraId="0D68B048"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Karşılaştırma Ölçütünün Getirisi/Eşik Değer (%) (*)</w:t>
            </w:r>
          </w:p>
        </w:tc>
        <w:tc>
          <w:tcPr>
            <w:tcW w:w="1287" w:type="dxa"/>
            <w:tcBorders>
              <w:top w:val="single" w:sz="4" w:space="0" w:color="auto"/>
              <w:left w:val="nil"/>
              <w:bottom w:val="single" w:sz="4" w:space="0" w:color="auto"/>
              <w:right w:val="single" w:sz="4" w:space="0" w:color="auto"/>
            </w:tcBorders>
            <w:shd w:val="clear" w:color="auto" w:fill="auto"/>
            <w:vAlign w:val="center"/>
            <w:hideMark/>
          </w:tcPr>
          <w:p w14:paraId="043F70A2"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Üfe Enflasyon Oranı (%) (**)</w:t>
            </w:r>
          </w:p>
        </w:tc>
        <w:tc>
          <w:tcPr>
            <w:tcW w:w="1299" w:type="dxa"/>
            <w:tcBorders>
              <w:top w:val="single" w:sz="4" w:space="0" w:color="auto"/>
              <w:left w:val="nil"/>
              <w:bottom w:val="single" w:sz="4" w:space="0" w:color="auto"/>
              <w:right w:val="single" w:sz="4" w:space="0" w:color="auto"/>
            </w:tcBorders>
            <w:shd w:val="clear" w:color="auto" w:fill="auto"/>
            <w:vAlign w:val="center"/>
            <w:hideMark/>
          </w:tcPr>
          <w:p w14:paraId="10D0AC5B"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Portföyün Zaman İçinde Standart Sapması (%)</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3070C6B2"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Karşılaştırma Ölçütünün Standart Sapması (%)</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718377DF"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Bilgi Rasyosu</w:t>
            </w:r>
          </w:p>
        </w:tc>
        <w:tc>
          <w:tcPr>
            <w:tcW w:w="1490" w:type="dxa"/>
            <w:tcBorders>
              <w:top w:val="single" w:sz="4" w:space="0" w:color="auto"/>
              <w:left w:val="nil"/>
              <w:bottom w:val="single" w:sz="4" w:space="0" w:color="auto"/>
              <w:right w:val="single" w:sz="4" w:space="0" w:color="auto"/>
            </w:tcBorders>
            <w:shd w:val="clear" w:color="auto" w:fill="auto"/>
            <w:vAlign w:val="center"/>
            <w:hideMark/>
          </w:tcPr>
          <w:p w14:paraId="5B9AA4B7"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Sunuma Dahil Dönem Sonu Portföyün Toplam Değeri</w:t>
            </w:r>
          </w:p>
        </w:tc>
      </w:tr>
      <w:tr w:rsidR="00AC30F1" w:rsidRPr="00AC30F1" w14:paraId="505884BF" w14:textId="77777777" w:rsidTr="00AC30F1">
        <w:trPr>
          <w:trHeight w:val="370"/>
        </w:trPr>
        <w:tc>
          <w:tcPr>
            <w:tcW w:w="870" w:type="dxa"/>
            <w:tcBorders>
              <w:top w:val="nil"/>
              <w:left w:val="single" w:sz="4" w:space="0" w:color="auto"/>
              <w:bottom w:val="single" w:sz="4" w:space="0" w:color="auto"/>
              <w:right w:val="single" w:sz="4" w:space="0" w:color="auto"/>
            </w:tcBorders>
            <w:shd w:val="clear" w:color="auto" w:fill="auto"/>
            <w:vAlign w:val="center"/>
            <w:hideMark/>
          </w:tcPr>
          <w:p w14:paraId="6783431D"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2022</w:t>
            </w:r>
          </w:p>
        </w:tc>
        <w:tc>
          <w:tcPr>
            <w:tcW w:w="751" w:type="dxa"/>
            <w:tcBorders>
              <w:top w:val="nil"/>
              <w:left w:val="nil"/>
              <w:bottom w:val="single" w:sz="4" w:space="0" w:color="auto"/>
              <w:right w:val="single" w:sz="4" w:space="0" w:color="auto"/>
            </w:tcBorders>
            <w:shd w:val="clear" w:color="auto" w:fill="auto"/>
            <w:vAlign w:val="center"/>
            <w:hideMark/>
          </w:tcPr>
          <w:p w14:paraId="31B29883"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432,88</w:t>
            </w:r>
          </w:p>
        </w:tc>
        <w:tc>
          <w:tcPr>
            <w:tcW w:w="1586" w:type="dxa"/>
            <w:tcBorders>
              <w:top w:val="nil"/>
              <w:left w:val="nil"/>
              <w:bottom w:val="single" w:sz="4" w:space="0" w:color="auto"/>
              <w:right w:val="single" w:sz="4" w:space="0" w:color="auto"/>
            </w:tcBorders>
            <w:shd w:val="clear" w:color="auto" w:fill="auto"/>
            <w:vAlign w:val="center"/>
            <w:hideMark/>
          </w:tcPr>
          <w:p w14:paraId="2B919F6D"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111,19</w:t>
            </w:r>
          </w:p>
        </w:tc>
        <w:tc>
          <w:tcPr>
            <w:tcW w:w="1287" w:type="dxa"/>
            <w:tcBorders>
              <w:top w:val="nil"/>
              <w:left w:val="nil"/>
              <w:bottom w:val="single" w:sz="4" w:space="0" w:color="auto"/>
              <w:right w:val="single" w:sz="4" w:space="0" w:color="auto"/>
            </w:tcBorders>
            <w:shd w:val="clear" w:color="auto" w:fill="auto"/>
            <w:vAlign w:val="center"/>
            <w:hideMark/>
          </w:tcPr>
          <w:p w14:paraId="0C9DD72B"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30,57</w:t>
            </w:r>
          </w:p>
        </w:tc>
        <w:tc>
          <w:tcPr>
            <w:tcW w:w="1299" w:type="dxa"/>
            <w:tcBorders>
              <w:top w:val="nil"/>
              <w:left w:val="nil"/>
              <w:bottom w:val="single" w:sz="4" w:space="0" w:color="auto"/>
              <w:right w:val="single" w:sz="4" w:space="0" w:color="auto"/>
            </w:tcBorders>
            <w:shd w:val="clear" w:color="auto" w:fill="auto"/>
            <w:vAlign w:val="center"/>
            <w:hideMark/>
          </w:tcPr>
          <w:p w14:paraId="1E543370"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236,42</w:t>
            </w:r>
          </w:p>
        </w:tc>
        <w:tc>
          <w:tcPr>
            <w:tcW w:w="1073" w:type="dxa"/>
            <w:tcBorders>
              <w:top w:val="nil"/>
              <w:left w:val="nil"/>
              <w:bottom w:val="single" w:sz="4" w:space="0" w:color="auto"/>
              <w:right w:val="single" w:sz="4" w:space="0" w:color="auto"/>
            </w:tcBorders>
            <w:shd w:val="clear" w:color="auto" w:fill="auto"/>
            <w:vAlign w:val="center"/>
            <w:hideMark/>
          </w:tcPr>
          <w:p w14:paraId="1F46069D"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0,69</w:t>
            </w:r>
          </w:p>
        </w:tc>
        <w:tc>
          <w:tcPr>
            <w:tcW w:w="751" w:type="dxa"/>
            <w:tcBorders>
              <w:top w:val="nil"/>
              <w:left w:val="nil"/>
              <w:bottom w:val="single" w:sz="4" w:space="0" w:color="auto"/>
              <w:right w:val="single" w:sz="4" w:space="0" w:color="auto"/>
            </w:tcBorders>
            <w:shd w:val="clear" w:color="auto" w:fill="auto"/>
            <w:vAlign w:val="center"/>
            <w:hideMark/>
          </w:tcPr>
          <w:p w14:paraId="5C786DFB"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19,54</w:t>
            </w:r>
          </w:p>
        </w:tc>
        <w:tc>
          <w:tcPr>
            <w:tcW w:w="1490" w:type="dxa"/>
            <w:tcBorders>
              <w:top w:val="nil"/>
              <w:left w:val="nil"/>
              <w:bottom w:val="single" w:sz="4" w:space="0" w:color="auto"/>
              <w:right w:val="single" w:sz="4" w:space="0" w:color="auto"/>
            </w:tcBorders>
            <w:shd w:val="clear" w:color="auto" w:fill="auto"/>
            <w:noWrap/>
            <w:vAlign w:val="center"/>
            <w:hideMark/>
          </w:tcPr>
          <w:p w14:paraId="132011D3" w14:textId="77777777" w:rsidR="00AC30F1" w:rsidRPr="00AC30F1" w:rsidRDefault="00AC30F1" w:rsidP="00AC30F1">
            <w:pPr>
              <w:spacing w:after="0" w:line="240" w:lineRule="auto"/>
              <w:jc w:val="right"/>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 xml:space="preserve"> 133.499.568,39 </w:t>
            </w:r>
          </w:p>
        </w:tc>
      </w:tr>
      <w:tr w:rsidR="00AC30F1" w:rsidRPr="00AC30F1" w14:paraId="1E5FE772" w14:textId="77777777" w:rsidTr="00AC30F1">
        <w:trPr>
          <w:trHeight w:val="274"/>
        </w:trPr>
        <w:tc>
          <w:tcPr>
            <w:tcW w:w="870" w:type="dxa"/>
            <w:tcBorders>
              <w:top w:val="nil"/>
              <w:left w:val="single" w:sz="4" w:space="0" w:color="auto"/>
              <w:bottom w:val="single" w:sz="4" w:space="0" w:color="auto"/>
              <w:right w:val="single" w:sz="4" w:space="0" w:color="auto"/>
            </w:tcBorders>
            <w:shd w:val="clear" w:color="auto" w:fill="auto"/>
            <w:vAlign w:val="center"/>
            <w:hideMark/>
          </w:tcPr>
          <w:p w14:paraId="6EE97CF5"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2023</w:t>
            </w:r>
          </w:p>
        </w:tc>
        <w:tc>
          <w:tcPr>
            <w:tcW w:w="751" w:type="dxa"/>
            <w:tcBorders>
              <w:top w:val="nil"/>
              <w:left w:val="nil"/>
              <w:bottom w:val="single" w:sz="4" w:space="0" w:color="auto"/>
              <w:right w:val="single" w:sz="4" w:space="0" w:color="auto"/>
            </w:tcBorders>
            <w:shd w:val="clear" w:color="auto" w:fill="auto"/>
            <w:vAlign w:val="center"/>
            <w:hideMark/>
          </w:tcPr>
          <w:p w14:paraId="0E6BC096"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29,76</w:t>
            </w:r>
          </w:p>
        </w:tc>
        <w:tc>
          <w:tcPr>
            <w:tcW w:w="1586" w:type="dxa"/>
            <w:tcBorders>
              <w:top w:val="nil"/>
              <w:left w:val="nil"/>
              <w:bottom w:val="single" w:sz="4" w:space="0" w:color="auto"/>
              <w:right w:val="single" w:sz="4" w:space="0" w:color="auto"/>
            </w:tcBorders>
            <w:shd w:val="clear" w:color="auto" w:fill="auto"/>
            <w:vAlign w:val="center"/>
            <w:hideMark/>
          </w:tcPr>
          <w:p w14:paraId="56C7FE73"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37,05</w:t>
            </w:r>
          </w:p>
        </w:tc>
        <w:tc>
          <w:tcPr>
            <w:tcW w:w="1287" w:type="dxa"/>
            <w:tcBorders>
              <w:top w:val="nil"/>
              <w:left w:val="nil"/>
              <w:bottom w:val="single" w:sz="4" w:space="0" w:color="auto"/>
              <w:right w:val="single" w:sz="4" w:space="0" w:color="auto"/>
            </w:tcBorders>
            <w:shd w:val="clear" w:color="auto" w:fill="auto"/>
            <w:vAlign w:val="center"/>
            <w:hideMark/>
          </w:tcPr>
          <w:p w14:paraId="51797850"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44,22</w:t>
            </w:r>
          </w:p>
        </w:tc>
        <w:tc>
          <w:tcPr>
            <w:tcW w:w="1299" w:type="dxa"/>
            <w:tcBorders>
              <w:top w:val="nil"/>
              <w:left w:val="nil"/>
              <w:bottom w:val="single" w:sz="4" w:space="0" w:color="auto"/>
              <w:right w:val="single" w:sz="4" w:space="0" w:color="auto"/>
            </w:tcBorders>
            <w:shd w:val="clear" w:color="auto" w:fill="auto"/>
            <w:vAlign w:val="center"/>
            <w:hideMark/>
          </w:tcPr>
          <w:p w14:paraId="3C097C8A"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3,94</w:t>
            </w:r>
          </w:p>
        </w:tc>
        <w:tc>
          <w:tcPr>
            <w:tcW w:w="1073" w:type="dxa"/>
            <w:tcBorders>
              <w:top w:val="nil"/>
              <w:left w:val="nil"/>
              <w:bottom w:val="single" w:sz="4" w:space="0" w:color="auto"/>
              <w:right w:val="single" w:sz="4" w:space="0" w:color="auto"/>
            </w:tcBorders>
            <w:shd w:val="clear" w:color="auto" w:fill="auto"/>
            <w:vAlign w:val="center"/>
            <w:hideMark/>
          </w:tcPr>
          <w:p w14:paraId="52FB8E0D"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0,07</w:t>
            </w:r>
          </w:p>
        </w:tc>
        <w:tc>
          <w:tcPr>
            <w:tcW w:w="751" w:type="dxa"/>
            <w:tcBorders>
              <w:top w:val="nil"/>
              <w:left w:val="nil"/>
              <w:bottom w:val="single" w:sz="4" w:space="0" w:color="auto"/>
              <w:right w:val="single" w:sz="4" w:space="0" w:color="auto"/>
            </w:tcBorders>
            <w:shd w:val="clear" w:color="auto" w:fill="auto"/>
            <w:vAlign w:val="center"/>
            <w:hideMark/>
          </w:tcPr>
          <w:p w14:paraId="17857359"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0,02</w:t>
            </w:r>
          </w:p>
        </w:tc>
        <w:tc>
          <w:tcPr>
            <w:tcW w:w="1490" w:type="dxa"/>
            <w:tcBorders>
              <w:top w:val="nil"/>
              <w:left w:val="nil"/>
              <w:bottom w:val="single" w:sz="4" w:space="0" w:color="auto"/>
              <w:right w:val="single" w:sz="4" w:space="0" w:color="auto"/>
            </w:tcBorders>
            <w:shd w:val="clear" w:color="auto" w:fill="auto"/>
            <w:noWrap/>
            <w:vAlign w:val="center"/>
            <w:hideMark/>
          </w:tcPr>
          <w:p w14:paraId="75A6E303" w14:textId="1A375973" w:rsidR="00AC30F1" w:rsidRPr="00AC30F1" w:rsidRDefault="00AC30F1" w:rsidP="00AC30F1">
            <w:pPr>
              <w:spacing w:after="0" w:line="240" w:lineRule="auto"/>
              <w:jc w:val="right"/>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 xml:space="preserve">                            </w:t>
            </w:r>
            <w:commentRangeStart w:id="0"/>
            <w:commentRangeStart w:id="1"/>
            <w:r w:rsidRPr="00AC30F1">
              <w:rPr>
                <w:rFonts w:ascii="Times New Roman" w:eastAsia="Times New Roman" w:hAnsi="Times New Roman" w:cs="Times New Roman"/>
                <w:b/>
                <w:bCs/>
                <w:color w:val="000000"/>
                <w:sz w:val="18"/>
                <w:szCs w:val="18"/>
                <w:lang w:eastAsia="tr-TR"/>
              </w:rPr>
              <w:t>296.00</w:t>
            </w:r>
            <w:r w:rsidR="00F42634">
              <w:rPr>
                <w:rFonts w:ascii="Times New Roman" w:eastAsia="Times New Roman" w:hAnsi="Times New Roman" w:cs="Times New Roman"/>
                <w:b/>
                <w:bCs/>
                <w:color w:val="000000"/>
                <w:sz w:val="18"/>
                <w:szCs w:val="18"/>
                <w:lang w:eastAsia="tr-TR"/>
              </w:rPr>
              <w:t>6</w:t>
            </w:r>
            <w:r w:rsidRPr="00AC30F1">
              <w:rPr>
                <w:rFonts w:ascii="Times New Roman" w:eastAsia="Times New Roman" w:hAnsi="Times New Roman" w:cs="Times New Roman"/>
                <w:b/>
                <w:bCs/>
                <w:color w:val="000000"/>
                <w:sz w:val="18"/>
                <w:szCs w:val="18"/>
                <w:lang w:eastAsia="tr-TR"/>
              </w:rPr>
              <w:t>.470,87</w:t>
            </w:r>
            <w:commentRangeEnd w:id="0"/>
            <w:r w:rsidR="001D2026">
              <w:rPr>
                <w:rStyle w:val="AklamaBavurusu"/>
              </w:rPr>
              <w:commentReference w:id="0"/>
            </w:r>
            <w:commentRangeEnd w:id="1"/>
            <w:r w:rsidR="00F42634">
              <w:rPr>
                <w:rStyle w:val="AklamaBavurusu"/>
              </w:rPr>
              <w:commentReference w:id="1"/>
            </w:r>
            <w:r w:rsidRPr="00AC30F1">
              <w:rPr>
                <w:rFonts w:ascii="Times New Roman" w:eastAsia="Times New Roman" w:hAnsi="Times New Roman" w:cs="Times New Roman"/>
                <w:b/>
                <w:bCs/>
                <w:color w:val="000000"/>
                <w:sz w:val="18"/>
                <w:szCs w:val="18"/>
                <w:lang w:eastAsia="tr-TR"/>
              </w:rPr>
              <w:t xml:space="preserve"> </w:t>
            </w:r>
          </w:p>
        </w:tc>
      </w:tr>
      <w:tr w:rsidR="00AC30F1" w:rsidRPr="00AC30F1" w14:paraId="723EE417" w14:textId="77777777" w:rsidTr="00AC30F1">
        <w:trPr>
          <w:trHeight w:val="274"/>
        </w:trPr>
        <w:tc>
          <w:tcPr>
            <w:tcW w:w="870" w:type="dxa"/>
            <w:tcBorders>
              <w:top w:val="nil"/>
              <w:left w:val="single" w:sz="4" w:space="0" w:color="auto"/>
              <w:bottom w:val="single" w:sz="4" w:space="0" w:color="auto"/>
              <w:right w:val="single" w:sz="4" w:space="0" w:color="auto"/>
            </w:tcBorders>
            <w:shd w:val="clear" w:color="auto" w:fill="auto"/>
            <w:vAlign w:val="center"/>
            <w:hideMark/>
          </w:tcPr>
          <w:p w14:paraId="603ED5E8" w14:textId="65BD734C"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2024</w:t>
            </w:r>
            <w:r>
              <w:rPr>
                <w:rFonts w:ascii="Times New Roman" w:eastAsia="Times New Roman" w:hAnsi="Times New Roman" w:cs="Times New Roman"/>
                <w:b/>
                <w:bCs/>
                <w:color w:val="000000"/>
                <w:sz w:val="18"/>
                <w:szCs w:val="18"/>
                <w:lang w:eastAsia="tr-TR"/>
              </w:rPr>
              <w:t>***</w:t>
            </w:r>
          </w:p>
        </w:tc>
        <w:tc>
          <w:tcPr>
            <w:tcW w:w="751" w:type="dxa"/>
            <w:tcBorders>
              <w:top w:val="nil"/>
              <w:left w:val="nil"/>
              <w:bottom w:val="single" w:sz="4" w:space="0" w:color="auto"/>
              <w:right w:val="single" w:sz="4" w:space="0" w:color="auto"/>
            </w:tcBorders>
            <w:shd w:val="clear" w:color="auto" w:fill="auto"/>
            <w:vAlign w:val="center"/>
            <w:hideMark/>
          </w:tcPr>
          <w:p w14:paraId="65A108C9"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-13,95</w:t>
            </w:r>
          </w:p>
        </w:tc>
        <w:tc>
          <w:tcPr>
            <w:tcW w:w="1586" w:type="dxa"/>
            <w:tcBorders>
              <w:top w:val="nil"/>
              <w:left w:val="nil"/>
              <w:bottom w:val="single" w:sz="4" w:space="0" w:color="auto"/>
              <w:right w:val="single" w:sz="4" w:space="0" w:color="auto"/>
            </w:tcBorders>
            <w:shd w:val="clear" w:color="auto" w:fill="auto"/>
            <w:vAlign w:val="center"/>
            <w:hideMark/>
          </w:tcPr>
          <w:p w14:paraId="6DDAE940"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44,89</w:t>
            </w:r>
          </w:p>
        </w:tc>
        <w:tc>
          <w:tcPr>
            <w:tcW w:w="1287" w:type="dxa"/>
            <w:tcBorders>
              <w:top w:val="nil"/>
              <w:left w:val="nil"/>
              <w:bottom w:val="single" w:sz="4" w:space="0" w:color="auto"/>
              <w:right w:val="single" w:sz="4" w:space="0" w:color="auto"/>
            </w:tcBorders>
            <w:shd w:val="clear" w:color="auto" w:fill="auto"/>
            <w:vAlign w:val="center"/>
            <w:hideMark/>
          </w:tcPr>
          <w:p w14:paraId="02331B1D"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19,49</w:t>
            </w:r>
          </w:p>
        </w:tc>
        <w:tc>
          <w:tcPr>
            <w:tcW w:w="1299" w:type="dxa"/>
            <w:tcBorders>
              <w:top w:val="nil"/>
              <w:left w:val="nil"/>
              <w:bottom w:val="single" w:sz="4" w:space="0" w:color="auto"/>
              <w:right w:val="single" w:sz="4" w:space="0" w:color="auto"/>
            </w:tcBorders>
            <w:shd w:val="clear" w:color="auto" w:fill="auto"/>
            <w:vAlign w:val="center"/>
            <w:hideMark/>
          </w:tcPr>
          <w:p w14:paraId="7DA3D982"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2,72</w:t>
            </w:r>
          </w:p>
        </w:tc>
        <w:tc>
          <w:tcPr>
            <w:tcW w:w="1073" w:type="dxa"/>
            <w:tcBorders>
              <w:top w:val="nil"/>
              <w:left w:val="nil"/>
              <w:bottom w:val="single" w:sz="4" w:space="0" w:color="auto"/>
              <w:right w:val="single" w:sz="4" w:space="0" w:color="auto"/>
            </w:tcBorders>
            <w:shd w:val="clear" w:color="auto" w:fill="auto"/>
            <w:vAlign w:val="center"/>
            <w:hideMark/>
          </w:tcPr>
          <w:p w14:paraId="11DC565B"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0,14</w:t>
            </w:r>
          </w:p>
        </w:tc>
        <w:tc>
          <w:tcPr>
            <w:tcW w:w="751" w:type="dxa"/>
            <w:tcBorders>
              <w:top w:val="nil"/>
              <w:left w:val="nil"/>
              <w:bottom w:val="single" w:sz="4" w:space="0" w:color="auto"/>
              <w:right w:val="single" w:sz="4" w:space="0" w:color="auto"/>
            </w:tcBorders>
            <w:shd w:val="clear" w:color="auto" w:fill="auto"/>
            <w:vAlign w:val="center"/>
            <w:hideMark/>
          </w:tcPr>
          <w:p w14:paraId="4CE98A7E" w14:textId="77777777" w:rsidR="00AC30F1" w:rsidRPr="00AC30F1" w:rsidRDefault="00AC30F1" w:rsidP="00AC30F1">
            <w:pPr>
              <w:spacing w:after="0" w:line="240" w:lineRule="auto"/>
              <w:jc w:val="center"/>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-0,41</w:t>
            </w:r>
          </w:p>
        </w:tc>
        <w:tc>
          <w:tcPr>
            <w:tcW w:w="1490" w:type="dxa"/>
            <w:tcBorders>
              <w:top w:val="nil"/>
              <w:left w:val="nil"/>
              <w:bottom w:val="single" w:sz="4" w:space="0" w:color="auto"/>
              <w:right w:val="single" w:sz="4" w:space="0" w:color="auto"/>
            </w:tcBorders>
            <w:shd w:val="clear" w:color="auto" w:fill="auto"/>
            <w:noWrap/>
            <w:vAlign w:val="center"/>
            <w:hideMark/>
          </w:tcPr>
          <w:p w14:paraId="3672EEC6" w14:textId="77777777" w:rsidR="00AC30F1" w:rsidRPr="00AC30F1" w:rsidRDefault="00AC30F1" w:rsidP="00AC30F1">
            <w:pPr>
              <w:spacing w:after="0" w:line="240" w:lineRule="auto"/>
              <w:jc w:val="right"/>
              <w:rPr>
                <w:rFonts w:ascii="Times New Roman" w:eastAsia="Times New Roman" w:hAnsi="Times New Roman" w:cs="Times New Roman"/>
                <w:b/>
                <w:bCs/>
                <w:color w:val="000000"/>
                <w:sz w:val="18"/>
                <w:szCs w:val="18"/>
                <w:lang w:eastAsia="tr-TR"/>
              </w:rPr>
            </w:pPr>
            <w:r w:rsidRPr="00AC30F1">
              <w:rPr>
                <w:rFonts w:ascii="Times New Roman" w:eastAsia="Times New Roman" w:hAnsi="Times New Roman" w:cs="Times New Roman"/>
                <w:b/>
                <w:bCs/>
                <w:color w:val="000000"/>
                <w:sz w:val="18"/>
                <w:szCs w:val="18"/>
                <w:lang w:eastAsia="tr-TR"/>
              </w:rPr>
              <w:t xml:space="preserve">                            155.606.429,63 </w:t>
            </w:r>
          </w:p>
        </w:tc>
      </w:tr>
    </w:tbl>
    <w:p w14:paraId="7A161A44" w14:textId="77777777" w:rsidR="00106889" w:rsidRDefault="00106889" w:rsidP="00032E31">
      <w:pPr>
        <w:spacing w:after="0"/>
        <w:jc w:val="both"/>
        <w:rPr>
          <w:rFonts w:ascii="Times New Roman" w:hAnsi="Times New Roman" w:cs="Times New Roman"/>
          <w:sz w:val="24"/>
          <w:szCs w:val="24"/>
        </w:rPr>
      </w:pPr>
    </w:p>
    <w:p w14:paraId="7C187226" w14:textId="77777777" w:rsidR="009F6DF2" w:rsidRDefault="00030329" w:rsidP="009F6DF2">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9F6DF2">
        <w:rPr>
          <w:rFonts w:ascii="Times New Roman" w:hAnsi="Times New Roman" w:cs="Times New Roman"/>
          <w:sz w:val="24"/>
          <w:szCs w:val="24"/>
        </w:rPr>
        <w:t>Eşik Değer: %20-BIST-KYD 1 Aylık Gösterge TL Mevduat Endeksi ve %80-BIST 100 Getiri Endeksidir.</w:t>
      </w:r>
    </w:p>
    <w:p w14:paraId="74CD0119" w14:textId="3E147959" w:rsidR="005F5413" w:rsidRDefault="005F5413" w:rsidP="00032E31">
      <w:pPr>
        <w:spacing w:after="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sidR="000333B4">
        <w:rPr>
          <w:rFonts w:ascii="Times New Roman" w:hAnsi="Times New Roman" w:cs="Times New Roman"/>
          <w:sz w:val="24"/>
          <w:szCs w:val="24"/>
        </w:rPr>
        <w:t>Enflasyon oranı T</w:t>
      </w:r>
      <w:r w:rsidR="009F6DF2">
        <w:rPr>
          <w:rFonts w:ascii="Times New Roman" w:hAnsi="Times New Roman" w:cs="Times New Roman"/>
          <w:sz w:val="24"/>
          <w:szCs w:val="24"/>
        </w:rPr>
        <w:t>Ü</w:t>
      </w:r>
      <w:r w:rsidR="000333B4">
        <w:rPr>
          <w:rFonts w:ascii="Times New Roman" w:hAnsi="Times New Roman" w:cs="Times New Roman"/>
          <w:sz w:val="24"/>
          <w:szCs w:val="24"/>
        </w:rPr>
        <w:t xml:space="preserve">İK tarafından açıklanan </w:t>
      </w:r>
      <w:r>
        <w:rPr>
          <w:rFonts w:ascii="Times New Roman" w:hAnsi="Times New Roman" w:cs="Times New Roman"/>
          <w:sz w:val="24"/>
          <w:szCs w:val="24"/>
        </w:rPr>
        <w:t>ÜFE</w:t>
      </w:r>
      <w:r w:rsidR="000333B4">
        <w:rPr>
          <w:rFonts w:ascii="Times New Roman" w:hAnsi="Times New Roman" w:cs="Times New Roman"/>
          <w:sz w:val="24"/>
          <w:szCs w:val="24"/>
        </w:rPr>
        <w:t xml:space="preserve">’nin dönemsel oranıdır. </w:t>
      </w:r>
    </w:p>
    <w:p w14:paraId="77B00355" w14:textId="755253E1" w:rsidR="00030329" w:rsidRDefault="005F5413" w:rsidP="00032E31">
      <w:pPr>
        <w:spacing w:after="0"/>
        <w:ind w:left="705" w:hanging="705"/>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 xml:space="preserve">Fon’un kurulduğu </w:t>
      </w:r>
      <w:r w:rsidR="00E27451">
        <w:rPr>
          <w:rFonts w:ascii="Times New Roman" w:hAnsi="Times New Roman" w:cs="Times New Roman"/>
          <w:sz w:val="24"/>
          <w:szCs w:val="24"/>
        </w:rPr>
        <w:t>01.01.202</w:t>
      </w:r>
      <w:r w:rsidR="0087654A">
        <w:rPr>
          <w:rFonts w:ascii="Times New Roman" w:hAnsi="Times New Roman" w:cs="Times New Roman"/>
          <w:sz w:val="24"/>
          <w:szCs w:val="24"/>
        </w:rPr>
        <w:t>4</w:t>
      </w:r>
      <w:r w:rsidR="009F6DF2">
        <w:rPr>
          <w:rFonts w:ascii="Times New Roman" w:hAnsi="Times New Roman" w:cs="Times New Roman"/>
          <w:sz w:val="24"/>
          <w:szCs w:val="24"/>
        </w:rPr>
        <w:t xml:space="preserve"> </w:t>
      </w:r>
      <w:r>
        <w:rPr>
          <w:rFonts w:ascii="Times New Roman" w:hAnsi="Times New Roman" w:cs="Times New Roman"/>
          <w:sz w:val="24"/>
          <w:szCs w:val="24"/>
        </w:rPr>
        <w:t xml:space="preserve">ile </w:t>
      </w:r>
      <w:r w:rsidR="003545D0">
        <w:rPr>
          <w:rFonts w:ascii="Times New Roman" w:hAnsi="Times New Roman" w:cs="Times New Roman"/>
          <w:sz w:val="24"/>
          <w:szCs w:val="24"/>
        </w:rPr>
        <w:t>3</w:t>
      </w:r>
      <w:r w:rsidR="000B75DC">
        <w:rPr>
          <w:rFonts w:ascii="Times New Roman" w:hAnsi="Times New Roman" w:cs="Times New Roman"/>
          <w:sz w:val="24"/>
          <w:szCs w:val="24"/>
        </w:rPr>
        <w:t>0.06</w:t>
      </w:r>
      <w:r w:rsidR="00E27451">
        <w:rPr>
          <w:rFonts w:ascii="Times New Roman" w:hAnsi="Times New Roman" w:cs="Times New Roman"/>
          <w:sz w:val="24"/>
          <w:szCs w:val="24"/>
        </w:rPr>
        <w:t>.202</w:t>
      </w:r>
      <w:r w:rsidR="000B75DC">
        <w:rPr>
          <w:rFonts w:ascii="Times New Roman" w:hAnsi="Times New Roman" w:cs="Times New Roman"/>
          <w:sz w:val="24"/>
          <w:szCs w:val="24"/>
        </w:rPr>
        <w:t>4</w:t>
      </w:r>
      <w:r>
        <w:rPr>
          <w:rFonts w:ascii="Times New Roman" w:hAnsi="Times New Roman" w:cs="Times New Roman"/>
          <w:sz w:val="24"/>
          <w:szCs w:val="24"/>
        </w:rPr>
        <w:t xml:space="preserve"> tarihleri arasındaki dönemi kapsamaktadır.</w:t>
      </w:r>
    </w:p>
    <w:p w14:paraId="69E1A96A" w14:textId="77777777" w:rsidR="00BC4211" w:rsidRDefault="00BC4211" w:rsidP="00032E31">
      <w:pPr>
        <w:spacing w:after="0"/>
        <w:ind w:left="705" w:hanging="705"/>
        <w:jc w:val="both"/>
        <w:rPr>
          <w:rFonts w:ascii="Times New Roman" w:hAnsi="Times New Roman" w:cs="Times New Roman"/>
          <w:sz w:val="24"/>
          <w:szCs w:val="24"/>
        </w:rPr>
      </w:pPr>
    </w:p>
    <w:p w14:paraId="3AD111A1" w14:textId="45EB682E" w:rsidR="00CE6762" w:rsidRPr="0068499E" w:rsidRDefault="002E2517" w:rsidP="0068499E">
      <w:pPr>
        <w:spacing w:after="0"/>
        <w:ind w:left="705" w:hanging="705"/>
        <w:rPr>
          <w:rFonts w:ascii="Times New Roman" w:hAnsi="Times New Roman" w:cs="Times New Roman"/>
          <w:b/>
          <w:sz w:val="24"/>
          <w:szCs w:val="24"/>
          <w:u w:val="single"/>
        </w:rPr>
      </w:pPr>
      <w:r w:rsidRPr="00A779B1">
        <w:rPr>
          <w:rFonts w:ascii="Times New Roman" w:hAnsi="Times New Roman" w:cs="Times New Roman"/>
          <w:b/>
          <w:sz w:val="24"/>
          <w:szCs w:val="24"/>
          <w:u w:val="single"/>
          <w:shd w:val="clear" w:color="auto" w:fill="FFFFFF"/>
        </w:rPr>
        <w:t>Portföyün geçmiş performansı gelecek dönem performansı için bir gösterge olamaz.</w:t>
      </w:r>
    </w:p>
    <w:p w14:paraId="2B93F079" w14:textId="657D2188" w:rsidR="00CE6762" w:rsidRDefault="00CE6762" w:rsidP="005F5413">
      <w:pPr>
        <w:spacing w:after="0"/>
        <w:ind w:left="705" w:hanging="705"/>
        <w:rPr>
          <w:rFonts w:ascii="Times New Roman" w:hAnsi="Times New Roman" w:cs="Times New Roman"/>
          <w:sz w:val="24"/>
          <w:szCs w:val="24"/>
        </w:rPr>
      </w:pPr>
    </w:p>
    <w:p w14:paraId="0C7C4001" w14:textId="77777777" w:rsidR="00CE6762" w:rsidRDefault="00CE6762" w:rsidP="005F5413">
      <w:pPr>
        <w:spacing w:after="0"/>
        <w:ind w:left="705" w:hanging="705"/>
        <w:rPr>
          <w:rFonts w:ascii="Times New Roman" w:hAnsi="Times New Roman" w:cs="Times New Roman"/>
          <w:sz w:val="24"/>
          <w:szCs w:val="24"/>
        </w:rPr>
      </w:pPr>
    </w:p>
    <w:p w14:paraId="586855A8" w14:textId="77777777" w:rsidR="00BC4211" w:rsidRDefault="00BC4211" w:rsidP="00BC4211">
      <w:pPr>
        <w:pStyle w:val="ListeParagraf"/>
        <w:numPr>
          <w:ilvl w:val="0"/>
          <w:numId w:val="1"/>
        </w:numPr>
        <w:spacing w:after="0"/>
        <w:rPr>
          <w:rFonts w:ascii="Times New Roman" w:hAnsi="Times New Roman" w:cs="Times New Roman"/>
          <w:b/>
          <w:sz w:val="24"/>
          <w:szCs w:val="24"/>
        </w:rPr>
      </w:pPr>
      <w:r w:rsidRPr="00BC4211">
        <w:rPr>
          <w:rFonts w:ascii="Times New Roman" w:hAnsi="Times New Roman" w:cs="Times New Roman"/>
          <w:b/>
          <w:sz w:val="24"/>
          <w:szCs w:val="24"/>
        </w:rPr>
        <w:t>DİPNOTLAR</w:t>
      </w:r>
    </w:p>
    <w:p w14:paraId="35AAFA9A" w14:textId="77777777" w:rsidR="00596C79" w:rsidRDefault="00596C79" w:rsidP="00596C79">
      <w:pPr>
        <w:pStyle w:val="ListeParagraf"/>
        <w:spacing w:after="0"/>
        <w:rPr>
          <w:rFonts w:ascii="Times New Roman" w:hAnsi="Times New Roman" w:cs="Times New Roman"/>
          <w:b/>
          <w:sz w:val="24"/>
          <w:szCs w:val="24"/>
        </w:rPr>
      </w:pPr>
    </w:p>
    <w:p w14:paraId="3577AC2F" w14:textId="77777777" w:rsidR="00A80C2E" w:rsidRPr="00A80C2E" w:rsidRDefault="00A80C2E" w:rsidP="00596C79">
      <w:pPr>
        <w:pStyle w:val="ListeParagraf"/>
        <w:numPr>
          <w:ilvl w:val="0"/>
          <w:numId w:val="3"/>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Fon’un kurucusu ve yöneticisi Hedef Portföy Yönetimi A.Ş.(“Şirket”)’dir. Şirket 2012 yılında kurulmuş olup, yatırım fonları, yatırım ortaklıkları, özel ve tüzel kişilere mevzuat hükümleri çerçevesinde portföy yönetim hizmeti vermektedir. Halka arz olmuş ve toplam fon değeri 31,275,521,186.49 Türk Lirası olan otuz üç adet Serbest Fon, üç adet Hisse Senedi Fonu, bir adet Para Piyasası Fonu, bir adet Borçlanma Araçları Fonu, bir adet Değişken Fon, bir adet Altın Katılım Fonu ve on beş adet Girişim Sermayesi Yatırım Fonu, dört adet Gayrimenkul Yatırım Fonu bulunmaktadır.</w:t>
      </w:r>
    </w:p>
    <w:p w14:paraId="30FD4DB9" w14:textId="25151948" w:rsidR="00596C79" w:rsidRPr="00BF54DE" w:rsidRDefault="00FF1215" w:rsidP="00596C79">
      <w:pPr>
        <w:pStyle w:val="ListeParagraf"/>
        <w:numPr>
          <w:ilvl w:val="0"/>
          <w:numId w:val="3"/>
        </w:numPr>
        <w:spacing w:after="0"/>
        <w:jc w:val="both"/>
        <w:rPr>
          <w:rFonts w:ascii="Times New Roman" w:hAnsi="Times New Roman" w:cs="Times New Roman"/>
          <w:sz w:val="24"/>
          <w:szCs w:val="24"/>
        </w:rPr>
      </w:pPr>
      <w:r w:rsidRPr="00BF54DE">
        <w:rPr>
          <w:rFonts w:ascii="Times New Roman" w:hAnsi="Times New Roman" w:cs="Times New Roman"/>
          <w:sz w:val="24"/>
          <w:szCs w:val="24"/>
        </w:rPr>
        <w:t>Fon portföyünün yatırım stratejisi ve yatırım amacına “A. Tanıtıcı Bilgiler” başlığında yer verilmiştir.</w:t>
      </w:r>
    </w:p>
    <w:p w14:paraId="009B86E1" w14:textId="77777777" w:rsidR="00596C79" w:rsidRDefault="00596C79" w:rsidP="00596C79">
      <w:pPr>
        <w:pStyle w:val="ListeParagraf"/>
        <w:spacing w:after="0"/>
        <w:jc w:val="both"/>
        <w:rPr>
          <w:rFonts w:ascii="Times New Roman" w:hAnsi="Times New Roman" w:cs="Times New Roman"/>
          <w:sz w:val="24"/>
          <w:szCs w:val="24"/>
        </w:rPr>
      </w:pPr>
    </w:p>
    <w:p w14:paraId="699222F4" w14:textId="6711AEBB" w:rsidR="00FF1215" w:rsidRDefault="00FF1215"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Fon</w:t>
      </w:r>
      <w:r w:rsidR="00ED76F3">
        <w:rPr>
          <w:rFonts w:ascii="Times New Roman" w:hAnsi="Times New Roman" w:cs="Times New Roman"/>
          <w:sz w:val="24"/>
          <w:szCs w:val="24"/>
        </w:rPr>
        <w:t>,</w:t>
      </w:r>
      <w:r>
        <w:rPr>
          <w:rFonts w:ascii="Times New Roman" w:hAnsi="Times New Roman" w:cs="Times New Roman"/>
          <w:sz w:val="24"/>
          <w:szCs w:val="24"/>
        </w:rPr>
        <w:t xml:space="preserve"> </w:t>
      </w:r>
      <w:r w:rsidR="00EE1C8B">
        <w:rPr>
          <w:rFonts w:ascii="Times New Roman" w:hAnsi="Times New Roman" w:cs="Times New Roman"/>
          <w:sz w:val="24"/>
          <w:szCs w:val="24"/>
        </w:rPr>
        <w:t>performans sunum</w:t>
      </w:r>
      <w:r>
        <w:rPr>
          <w:rFonts w:ascii="Times New Roman" w:hAnsi="Times New Roman" w:cs="Times New Roman"/>
          <w:sz w:val="24"/>
          <w:szCs w:val="24"/>
        </w:rPr>
        <w:t xml:space="preserve"> döneminde net </w:t>
      </w:r>
      <w:r w:rsidR="005A19EC">
        <w:rPr>
          <w:rFonts w:ascii="Times New Roman" w:hAnsi="Times New Roman" w:cs="Times New Roman"/>
          <w:sz w:val="24"/>
          <w:szCs w:val="24"/>
        </w:rPr>
        <w:t>%</w:t>
      </w:r>
      <w:r w:rsidR="00B801DE">
        <w:rPr>
          <w:rFonts w:ascii="Times New Roman" w:hAnsi="Times New Roman" w:cs="Times New Roman"/>
          <w:sz w:val="24"/>
          <w:szCs w:val="24"/>
        </w:rPr>
        <w:t xml:space="preserve"> </w:t>
      </w:r>
      <w:r w:rsidR="00E12E8B">
        <w:rPr>
          <w:rFonts w:ascii="Times New Roman" w:hAnsi="Times New Roman" w:cs="Times New Roman"/>
          <w:sz w:val="24"/>
          <w:szCs w:val="24"/>
        </w:rPr>
        <w:t xml:space="preserve">13,95 zarar </w:t>
      </w:r>
      <w:r w:rsidR="00ED76F3">
        <w:rPr>
          <w:rFonts w:ascii="Times New Roman" w:hAnsi="Times New Roman" w:cs="Times New Roman"/>
          <w:sz w:val="24"/>
          <w:szCs w:val="24"/>
        </w:rPr>
        <w:t>et</w:t>
      </w:r>
      <w:r>
        <w:rPr>
          <w:rFonts w:ascii="Times New Roman" w:hAnsi="Times New Roman" w:cs="Times New Roman"/>
          <w:sz w:val="24"/>
          <w:szCs w:val="24"/>
        </w:rPr>
        <w:t>miştir.</w:t>
      </w:r>
    </w:p>
    <w:p w14:paraId="2653D3D8" w14:textId="77777777" w:rsidR="00596C79" w:rsidRDefault="00596C79" w:rsidP="00596C79">
      <w:pPr>
        <w:pStyle w:val="ListeParagraf"/>
        <w:spacing w:after="0"/>
        <w:jc w:val="both"/>
        <w:rPr>
          <w:rFonts w:ascii="Times New Roman" w:hAnsi="Times New Roman" w:cs="Times New Roman"/>
          <w:sz w:val="24"/>
          <w:szCs w:val="24"/>
        </w:rPr>
      </w:pPr>
    </w:p>
    <w:p w14:paraId="78F2C54E" w14:textId="77777777" w:rsidR="00ED76F3" w:rsidRDefault="00EE1C8B" w:rsidP="00032E31">
      <w:pPr>
        <w:pStyle w:val="ListeParagraf"/>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Performans sunum</w:t>
      </w:r>
      <w:r w:rsidR="00ED76F3">
        <w:rPr>
          <w:rFonts w:ascii="Times New Roman" w:hAnsi="Times New Roman" w:cs="Times New Roman"/>
          <w:sz w:val="24"/>
          <w:szCs w:val="24"/>
        </w:rPr>
        <w:t xml:space="preserve"> döneminde yönetim ücretleri, vergi, saklama ücretleri ve diğer faaliyet giderlerinin ortalama fon portföy değerine oranının ağırlıklı ortalaması aşağıdaki gibidir.</w:t>
      </w:r>
    </w:p>
    <w:p w14:paraId="7234DFE0" w14:textId="77777777" w:rsidR="001D40DC" w:rsidRPr="00CE6762" w:rsidRDefault="00CC7520" w:rsidP="00CE6762">
      <w:pPr>
        <w:spacing w:after="0"/>
        <w:ind w:left="360"/>
        <w:rPr>
          <w:rFonts w:ascii="Times New Roman" w:hAnsi="Times New Roman" w:cs="Times New Roman"/>
        </w:rPr>
      </w:pPr>
      <w:r w:rsidRPr="00CE6762">
        <w:rPr>
          <w:rFonts w:ascii="Times New Roman" w:hAnsi="Times New Roman" w:cs="Times New Roman"/>
          <w:sz w:val="24"/>
          <w:szCs w:val="24"/>
        </w:rPr>
        <w:t xml:space="preserve"> </w:t>
      </w:r>
      <w:r w:rsidR="001D40DC">
        <w:rPr>
          <w:rFonts w:ascii="Times New Roman" w:hAnsi="Times New Roman" w:cs="Times New Roman"/>
          <w:sz w:val="24"/>
          <w:szCs w:val="24"/>
        </w:rPr>
        <w:t xml:space="preserve">   </w:t>
      </w:r>
    </w:p>
    <w:tbl>
      <w:tblPr>
        <w:tblW w:w="8831" w:type="dxa"/>
        <w:tblInd w:w="80" w:type="dxa"/>
        <w:tblCellMar>
          <w:left w:w="70" w:type="dxa"/>
          <w:right w:w="70" w:type="dxa"/>
        </w:tblCellMar>
        <w:tblLook w:val="04A0" w:firstRow="1" w:lastRow="0" w:firstColumn="1" w:lastColumn="0" w:noHBand="0" w:noVBand="1"/>
      </w:tblPr>
      <w:tblGrid>
        <w:gridCol w:w="3834"/>
        <w:gridCol w:w="2743"/>
        <w:gridCol w:w="2254"/>
      </w:tblGrid>
      <w:tr w:rsidR="001D40DC" w:rsidRPr="001D40DC" w14:paraId="53BA3199" w14:textId="77777777" w:rsidTr="001D40DC">
        <w:trPr>
          <w:trHeight w:val="558"/>
        </w:trPr>
        <w:tc>
          <w:tcPr>
            <w:tcW w:w="3834"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17D9686" w14:textId="77777777" w:rsidR="001D40DC" w:rsidRPr="001D40DC" w:rsidRDefault="001D40DC" w:rsidP="001D40DC">
            <w:pPr>
              <w:spacing w:after="0" w:line="240" w:lineRule="auto"/>
              <w:jc w:val="center"/>
              <w:rPr>
                <w:rFonts w:ascii="Times New Roman" w:eastAsia="Times New Roman" w:hAnsi="Times New Roman" w:cs="Times New Roman"/>
                <w:b/>
                <w:bCs/>
                <w:color w:val="000000"/>
                <w:sz w:val="24"/>
                <w:szCs w:val="24"/>
                <w:lang w:eastAsia="tr-TR"/>
              </w:rPr>
            </w:pPr>
            <w:r w:rsidRPr="001D40DC">
              <w:rPr>
                <w:rFonts w:ascii="Times New Roman" w:eastAsia="Times New Roman" w:hAnsi="Times New Roman" w:cs="Times New Roman"/>
                <w:b/>
                <w:bCs/>
                <w:color w:val="000000"/>
                <w:sz w:val="24"/>
                <w:szCs w:val="24"/>
                <w:lang w:eastAsia="tr-TR"/>
              </w:rPr>
              <w:t>Dönem Faaliyet Giderleri Dağılımı</w:t>
            </w:r>
          </w:p>
        </w:tc>
        <w:tc>
          <w:tcPr>
            <w:tcW w:w="2743" w:type="dxa"/>
            <w:tcBorders>
              <w:top w:val="single" w:sz="8" w:space="0" w:color="auto"/>
              <w:left w:val="nil"/>
              <w:bottom w:val="single" w:sz="4" w:space="0" w:color="auto"/>
              <w:right w:val="single" w:sz="4" w:space="0" w:color="auto"/>
            </w:tcBorders>
            <w:shd w:val="clear" w:color="auto" w:fill="auto"/>
            <w:vAlign w:val="center"/>
            <w:hideMark/>
          </w:tcPr>
          <w:p w14:paraId="7A048026" w14:textId="77777777" w:rsidR="001D40DC" w:rsidRPr="001D40DC" w:rsidRDefault="001D40DC" w:rsidP="001D40DC">
            <w:pPr>
              <w:spacing w:after="0" w:line="240" w:lineRule="auto"/>
              <w:jc w:val="center"/>
              <w:rPr>
                <w:rFonts w:ascii="Times New Roman" w:eastAsia="Times New Roman" w:hAnsi="Times New Roman" w:cs="Times New Roman"/>
                <w:b/>
                <w:bCs/>
                <w:color w:val="000000"/>
                <w:sz w:val="24"/>
                <w:szCs w:val="24"/>
                <w:lang w:eastAsia="tr-TR"/>
              </w:rPr>
            </w:pPr>
            <w:r w:rsidRPr="001D40DC">
              <w:rPr>
                <w:rFonts w:ascii="Times New Roman" w:eastAsia="Times New Roman" w:hAnsi="Times New Roman" w:cs="Times New Roman"/>
                <w:b/>
                <w:bCs/>
                <w:color w:val="000000"/>
                <w:sz w:val="24"/>
                <w:szCs w:val="24"/>
                <w:lang w:eastAsia="tr-TR"/>
              </w:rPr>
              <w:t>Portföy Değerine Oranı (%)</w:t>
            </w:r>
          </w:p>
        </w:tc>
        <w:tc>
          <w:tcPr>
            <w:tcW w:w="2253" w:type="dxa"/>
            <w:tcBorders>
              <w:top w:val="single" w:sz="8" w:space="0" w:color="auto"/>
              <w:left w:val="nil"/>
              <w:bottom w:val="single" w:sz="4" w:space="0" w:color="auto"/>
              <w:right w:val="single" w:sz="8" w:space="0" w:color="auto"/>
            </w:tcBorders>
            <w:shd w:val="clear" w:color="auto" w:fill="auto"/>
            <w:vAlign w:val="center"/>
            <w:hideMark/>
          </w:tcPr>
          <w:p w14:paraId="19B51A2F" w14:textId="77777777" w:rsidR="001D40DC" w:rsidRPr="001D40DC" w:rsidRDefault="001D40DC" w:rsidP="001D40DC">
            <w:pPr>
              <w:spacing w:after="0" w:line="240" w:lineRule="auto"/>
              <w:jc w:val="center"/>
              <w:rPr>
                <w:rFonts w:ascii="Times New Roman" w:eastAsia="Times New Roman" w:hAnsi="Times New Roman" w:cs="Times New Roman"/>
                <w:b/>
                <w:bCs/>
                <w:color w:val="000000"/>
                <w:sz w:val="24"/>
                <w:szCs w:val="24"/>
                <w:lang w:eastAsia="tr-TR"/>
              </w:rPr>
            </w:pPr>
            <w:r w:rsidRPr="001D40DC">
              <w:rPr>
                <w:rFonts w:ascii="Times New Roman" w:eastAsia="Times New Roman" w:hAnsi="Times New Roman" w:cs="Times New Roman"/>
                <w:b/>
                <w:bCs/>
                <w:color w:val="000000"/>
                <w:sz w:val="24"/>
                <w:szCs w:val="24"/>
                <w:lang w:eastAsia="tr-TR"/>
              </w:rPr>
              <w:t>Tutar (TL)</w:t>
            </w:r>
          </w:p>
        </w:tc>
      </w:tr>
      <w:tr w:rsidR="001D40DC" w:rsidRPr="001D40DC" w14:paraId="51CA73FA" w14:textId="77777777" w:rsidTr="001D40DC">
        <w:trPr>
          <w:trHeight w:val="279"/>
        </w:trPr>
        <w:tc>
          <w:tcPr>
            <w:tcW w:w="3834" w:type="dxa"/>
            <w:tcBorders>
              <w:top w:val="nil"/>
              <w:left w:val="single" w:sz="8" w:space="0" w:color="auto"/>
              <w:bottom w:val="single" w:sz="4" w:space="0" w:color="auto"/>
              <w:right w:val="single" w:sz="4" w:space="0" w:color="auto"/>
            </w:tcBorders>
            <w:shd w:val="clear" w:color="auto" w:fill="auto"/>
            <w:noWrap/>
            <w:vAlign w:val="center"/>
            <w:hideMark/>
          </w:tcPr>
          <w:p w14:paraId="290DA116" w14:textId="77777777" w:rsidR="001D40DC" w:rsidRPr="001D40DC" w:rsidRDefault="001D40DC" w:rsidP="001D40DC">
            <w:pPr>
              <w:spacing w:after="0" w:line="240" w:lineRule="auto"/>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Yönetim Ücreti</w:t>
            </w:r>
          </w:p>
        </w:tc>
        <w:tc>
          <w:tcPr>
            <w:tcW w:w="2743" w:type="dxa"/>
            <w:tcBorders>
              <w:top w:val="nil"/>
              <w:left w:val="nil"/>
              <w:bottom w:val="single" w:sz="4" w:space="0" w:color="auto"/>
              <w:right w:val="single" w:sz="8" w:space="0" w:color="auto"/>
            </w:tcBorders>
            <w:shd w:val="clear" w:color="auto" w:fill="auto"/>
            <w:noWrap/>
            <w:vAlign w:val="center"/>
            <w:hideMark/>
          </w:tcPr>
          <w:p w14:paraId="0AE98F0E" w14:textId="77777777" w:rsidR="001D40DC" w:rsidRPr="001D40DC" w:rsidRDefault="001D40DC" w:rsidP="001D40DC">
            <w:pPr>
              <w:spacing w:after="0" w:line="240" w:lineRule="auto"/>
              <w:jc w:val="center"/>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0.25</w:t>
            </w:r>
          </w:p>
        </w:tc>
        <w:tc>
          <w:tcPr>
            <w:tcW w:w="2253" w:type="dxa"/>
            <w:tcBorders>
              <w:top w:val="nil"/>
              <w:left w:val="single" w:sz="4" w:space="0" w:color="auto"/>
              <w:bottom w:val="single" w:sz="4" w:space="0" w:color="auto"/>
              <w:right w:val="single" w:sz="8" w:space="0" w:color="auto"/>
            </w:tcBorders>
            <w:shd w:val="clear" w:color="auto" w:fill="auto"/>
            <w:noWrap/>
            <w:vAlign w:val="center"/>
            <w:hideMark/>
          </w:tcPr>
          <w:p w14:paraId="3D21B931" w14:textId="77777777" w:rsidR="001D40DC" w:rsidRPr="001D40DC" w:rsidRDefault="001D40DC" w:rsidP="001D40DC">
            <w:pPr>
              <w:spacing w:after="0" w:line="240" w:lineRule="auto"/>
              <w:jc w:val="center"/>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542,557.11</w:t>
            </w:r>
          </w:p>
        </w:tc>
      </w:tr>
      <w:tr w:rsidR="001D40DC" w:rsidRPr="001D40DC" w14:paraId="7833D66B" w14:textId="77777777" w:rsidTr="001D40DC">
        <w:trPr>
          <w:trHeight w:val="279"/>
        </w:trPr>
        <w:tc>
          <w:tcPr>
            <w:tcW w:w="3834" w:type="dxa"/>
            <w:tcBorders>
              <w:top w:val="nil"/>
              <w:left w:val="single" w:sz="8" w:space="0" w:color="auto"/>
              <w:bottom w:val="single" w:sz="4" w:space="0" w:color="auto"/>
              <w:right w:val="single" w:sz="4" w:space="0" w:color="auto"/>
            </w:tcBorders>
            <w:shd w:val="clear" w:color="auto" w:fill="auto"/>
            <w:noWrap/>
            <w:vAlign w:val="center"/>
            <w:hideMark/>
          </w:tcPr>
          <w:p w14:paraId="5ED01C3A" w14:textId="77777777" w:rsidR="001D40DC" w:rsidRPr="001D40DC" w:rsidRDefault="001D40DC" w:rsidP="001D40DC">
            <w:pPr>
              <w:spacing w:after="0" w:line="240" w:lineRule="auto"/>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Komisyon ve Diğer İşlem Ücretleri</w:t>
            </w:r>
          </w:p>
        </w:tc>
        <w:tc>
          <w:tcPr>
            <w:tcW w:w="2743" w:type="dxa"/>
            <w:tcBorders>
              <w:top w:val="nil"/>
              <w:left w:val="nil"/>
              <w:bottom w:val="single" w:sz="4" w:space="0" w:color="auto"/>
              <w:right w:val="single" w:sz="8" w:space="0" w:color="auto"/>
            </w:tcBorders>
            <w:shd w:val="clear" w:color="auto" w:fill="auto"/>
            <w:noWrap/>
            <w:vAlign w:val="center"/>
            <w:hideMark/>
          </w:tcPr>
          <w:p w14:paraId="70D7D82D" w14:textId="77777777" w:rsidR="001D40DC" w:rsidRPr="001D40DC" w:rsidRDefault="001D40DC" w:rsidP="001D40DC">
            <w:pPr>
              <w:spacing w:after="0" w:line="240" w:lineRule="auto"/>
              <w:jc w:val="center"/>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0.02</w:t>
            </w:r>
          </w:p>
        </w:tc>
        <w:tc>
          <w:tcPr>
            <w:tcW w:w="2253" w:type="dxa"/>
            <w:tcBorders>
              <w:top w:val="nil"/>
              <w:left w:val="single" w:sz="4" w:space="0" w:color="auto"/>
              <w:bottom w:val="single" w:sz="4" w:space="0" w:color="auto"/>
              <w:right w:val="single" w:sz="8" w:space="0" w:color="auto"/>
            </w:tcBorders>
            <w:shd w:val="clear" w:color="auto" w:fill="auto"/>
            <w:noWrap/>
            <w:vAlign w:val="center"/>
            <w:hideMark/>
          </w:tcPr>
          <w:p w14:paraId="238D20E6" w14:textId="77777777" w:rsidR="001D40DC" w:rsidRPr="001D40DC" w:rsidRDefault="001D40DC" w:rsidP="001D40DC">
            <w:pPr>
              <w:spacing w:after="0" w:line="240" w:lineRule="auto"/>
              <w:jc w:val="center"/>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43,582.58</w:t>
            </w:r>
          </w:p>
        </w:tc>
      </w:tr>
      <w:tr w:rsidR="001D40DC" w:rsidRPr="001D40DC" w14:paraId="0A5CDBF9" w14:textId="77777777" w:rsidTr="001D40DC">
        <w:trPr>
          <w:trHeight w:val="279"/>
        </w:trPr>
        <w:tc>
          <w:tcPr>
            <w:tcW w:w="3834" w:type="dxa"/>
            <w:tcBorders>
              <w:top w:val="nil"/>
              <w:left w:val="single" w:sz="8" w:space="0" w:color="auto"/>
              <w:bottom w:val="single" w:sz="4" w:space="0" w:color="auto"/>
              <w:right w:val="single" w:sz="4" w:space="0" w:color="auto"/>
            </w:tcBorders>
            <w:shd w:val="clear" w:color="auto" w:fill="auto"/>
            <w:noWrap/>
            <w:vAlign w:val="center"/>
            <w:hideMark/>
          </w:tcPr>
          <w:p w14:paraId="77B5AFEB" w14:textId="77777777" w:rsidR="001D40DC" w:rsidRPr="001D40DC" w:rsidRDefault="001D40DC" w:rsidP="001D40DC">
            <w:pPr>
              <w:spacing w:after="0" w:line="240" w:lineRule="auto"/>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Saklama Ücreti</w:t>
            </w:r>
          </w:p>
        </w:tc>
        <w:tc>
          <w:tcPr>
            <w:tcW w:w="2743" w:type="dxa"/>
            <w:tcBorders>
              <w:top w:val="nil"/>
              <w:left w:val="nil"/>
              <w:bottom w:val="single" w:sz="4" w:space="0" w:color="auto"/>
              <w:right w:val="single" w:sz="8" w:space="0" w:color="auto"/>
            </w:tcBorders>
            <w:shd w:val="clear" w:color="auto" w:fill="auto"/>
            <w:noWrap/>
            <w:vAlign w:val="center"/>
            <w:hideMark/>
          </w:tcPr>
          <w:p w14:paraId="102ABDB0" w14:textId="77777777" w:rsidR="001D40DC" w:rsidRPr="001D40DC" w:rsidRDefault="001D40DC" w:rsidP="001D40DC">
            <w:pPr>
              <w:spacing w:after="0" w:line="240" w:lineRule="auto"/>
              <w:jc w:val="center"/>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0.07</w:t>
            </w:r>
          </w:p>
        </w:tc>
        <w:tc>
          <w:tcPr>
            <w:tcW w:w="2253" w:type="dxa"/>
            <w:tcBorders>
              <w:top w:val="nil"/>
              <w:left w:val="single" w:sz="4" w:space="0" w:color="auto"/>
              <w:bottom w:val="single" w:sz="4" w:space="0" w:color="auto"/>
              <w:right w:val="single" w:sz="8" w:space="0" w:color="auto"/>
            </w:tcBorders>
            <w:shd w:val="clear" w:color="auto" w:fill="auto"/>
            <w:noWrap/>
            <w:vAlign w:val="center"/>
            <w:hideMark/>
          </w:tcPr>
          <w:p w14:paraId="52BBD164" w14:textId="77777777" w:rsidR="001D40DC" w:rsidRPr="001D40DC" w:rsidRDefault="001D40DC" w:rsidP="001D40DC">
            <w:pPr>
              <w:spacing w:after="0" w:line="240" w:lineRule="auto"/>
              <w:jc w:val="center"/>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148,376.27</w:t>
            </w:r>
          </w:p>
        </w:tc>
      </w:tr>
      <w:tr w:rsidR="001D40DC" w:rsidRPr="001D40DC" w14:paraId="7D6C6903" w14:textId="77777777" w:rsidTr="001D40DC">
        <w:trPr>
          <w:trHeight w:val="279"/>
        </w:trPr>
        <w:tc>
          <w:tcPr>
            <w:tcW w:w="3834" w:type="dxa"/>
            <w:tcBorders>
              <w:top w:val="nil"/>
              <w:left w:val="single" w:sz="8" w:space="0" w:color="auto"/>
              <w:bottom w:val="single" w:sz="4" w:space="0" w:color="auto"/>
              <w:right w:val="single" w:sz="4" w:space="0" w:color="auto"/>
            </w:tcBorders>
            <w:shd w:val="clear" w:color="auto" w:fill="auto"/>
            <w:noWrap/>
            <w:vAlign w:val="center"/>
            <w:hideMark/>
          </w:tcPr>
          <w:p w14:paraId="276F8F7D" w14:textId="77777777" w:rsidR="001D40DC" w:rsidRPr="001D40DC" w:rsidRDefault="001D40DC" w:rsidP="001D40DC">
            <w:pPr>
              <w:spacing w:after="0" w:line="240" w:lineRule="auto"/>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Kurul Ücretleri</w:t>
            </w:r>
          </w:p>
        </w:tc>
        <w:tc>
          <w:tcPr>
            <w:tcW w:w="2743" w:type="dxa"/>
            <w:tcBorders>
              <w:top w:val="nil"/>
              <w:left w:val="nil"/>
              <w:bottom w:val="single" w:sz="4" w:space="0" w:color="auto"/>
              <w:right w:val="single" w:sz="8" w:space="0" w:color="auto"/>
            </w:tcBorders>
            <w:shd w:val="clear" w:color="auto" w:fill="auto"/>
            <w:noWrap/>
            <w:vAlign w:val="center"/>
            <w:hideMark/>
          </w:tcPr>
          <w:p w14:paraId="7DE07271" w14:textId="77777777" w:rsidR="001D40DC" w:rsidRPr="001D40DC" w:rsidRDefault="001D40DC" w:rsidP="001D40DC">
            <w:pPr>
              <w:spacing w:after="0" w:line="240" w:lineRule="auto"/>
              <w:jc w:val="center"/>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0.01</w:t>
            </w:r>
          </w:p>
        </w:tc>
        <w:tc>
          <w:tcPr>
            <w:tcW w:w="2253" w:type="dxa"/>
            <w:tcBorders>
              <w:top w:val="nil"/>
              <w:left w:val="single" w:sz="4" w:space="0" w:color="auto"/>
              <w:bottom w:val="single" w:sz="4" w:space="0" w:color="auto"/>
              <w:right w:val="single" w:sz="8" w:space="0" w:color="auto"/>
            </w:tcBorders>
            <w:shd w:val="clear" w:color="auto" w:fill="auto"/>
            <w:noWrap/>
            <w:vAlign w:val="center"/>
            <w:hideMark/>
          </w:tcPr>
          <w:p w14:paraId="2693568F" w14:textId="77777777" w:rsidR="001D40DC" w:rsidRPr="001D40DC" w:rsidRDefault="001D40DC" w:rsidP="001D40DC">
            <w:pPr>
              <w:spacing w:after="0" w:line="240" w:lineRule="auto"/>
              <w:jc w:val="center"/>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17,424.07</w:t>
            </w:r>
          </w:p>
        </w:tc>
      </w:tr>
      <w:tr w:rsidR="001D40DC" w:rsidRPr="001D40DC" w14:paraId="294B94B3" w14:textId="77777777" w:rsidTr="001D40DC">
        <w:trPr>
          <w:trHeight w:val="279"/>
        </w:trPr>
        <w:tc>
          <w:tcPr>
            <w:tcW w:w="3834" w:type="dxa"/>
            <w:tcBorders>
              <w:top w:val="nil"/>
              <w:left w:val="single" w:sz="8" w:space="0" w:color="auto"/>
              <w:bottom w:val="single" w:sz="4" w:space="0" w:color="auto"/>
              <w:right w:val="single" w:sz="4" w:space="0" w:color="auto"/>
            </w:tcBorders>
            <w:shd w:val="clear" w:color="auto" w:fill="auto"/>
            <w:noWrap/>
            <w:vAlign w:val="center"/>
            <w:hideMark/>
          </w:tcPr>
          <w:p w14:paraId="430599B7" w14:textId="77777777" w:rsidR="001D40DC" w:rsidRPr="001D40DC" w:rsidRDefault="001D40DC" w:rsidP="001D40DC">
            <w:pPr>
              <w:spacing w:after="0" w:line="240" w:lineRule="auto"/>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Bağımsız Denetim Ücreti</w:t>
            </w:r>
          </w:p>
        </w:tc>
        <w:tc>
          <w:tcPr>
            <w:tcW w:w="2743" w:type="dxa"/>
            <w:tcBorders>
              <w:top w:val="nil"/>
              <w:left w:val="nil"/>
              <w:bottom w:val="single" w:sz="4" w:space="0" w:color="auto"/>
              <w:right w:val="single" w:sz="8" w:space="0" w:color="auto"/>
            </w:tcBorders>
            <w:shd w:val="clear" w:color="auto" w:fill="auto"/>
            <w:noWrap/>
            <w:vAlign w:val="center"/>
            <w:hideMark/>
          </w:tcPr>
          <w:p w14:paraId="48E6E49C" w14:textId="77777777" w:rsidR="001D40DC" w:rsidRPr="001D40DC" w:rsidRDefault="001D40DC" w:rsidP="001D40DC">
            <w:pPr>
              <w:spacing w:after="0" w:line="240" w:lineRule="auto"/>
              <w:jc w:val="center"/>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0.00</w:t>
            </w:r>
          </w:p>
        </w:tc>
        <w:tc>
          <w:tcPr>
            <w:tcW w:w="2253" w:type="dxa"/>
            <w:tcBorders>
              <w:top w:val="nil"/>
              <w:left w:val="single" w:sz="4" w:space="0" w:color="auto"/>
              <w:bottom w:val="single" w:sz="4" w:space="0" w:color="auto"/>
              <w:right w:val="single" w:sz="8" w:space="0" w:color="auto"/>
            </w:tcBorders>
            <w:shd w:val="clear" w:color="auto" w:fill="auto"/>
            <w:noWrap/>
            <w:vAlign w:val="center"/>
            <w:hideMark/>
          </w:tcPr>
          <w:p w14:paraId="5CDD1A6C" w14:textId="77777777" w:rsidR="001D40DC" w:rsidRPr="001D40DC" w:rsidRDefault="001D40DC" w:rsidP="001D40DC">
            <w:pPr>
              <w:spacing w:after="0" w:line="240" w:lineRule="auto"/>
              <w:jc w:val="center"/>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10,507.05</w:t>
            </w:r>
          </w:p>
        </w:tc>
      </w:tr>
      <w:tr w:rsidR="001D40DC" w:rsidRPr="001D40DC" w14:paraId="44382668" w14:textId="77777777" w:rsidTr="001D40DC">
        <w:trPr>
          <w:trHeight w:val="279"/>
        </w:trPr>
        <w:tc>
          <w:tcPr>
            <w:tcW w:w="3834" w:type="dxa"/>
            <w:tcBorders>
              <w:top w:val="nil"/>
              <w:left w:val="single" w:sz="8" w:space="0" w:color="auto"/>
              <w:bottom w:val="single" w:sz="4" w:space="0" w:color="auto"/>
              <w:right w:val="single" w:sz="4" w:space="0" w:color="auto"/>
            </w:tcBorders>
            <w:shd w:val="clear" w:color="auto" w:fill="auto"/>
            <w:noWrap/>
            <w:vAlign w:val="center"/>
            <w:hideMark/>
          </w:tcPr>
          <w:p w14:paraId="53946D58" w14:textId="77777777" w:rsidR="001D40DC" w:rsidRPr="001D40DC" w:rsidRDefault="001D40DC" w:rsidP="001D40DC">
            <w:pPr>
              <w:spacing w:after="0" w:line="240" w:lineRule="auto"/>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Diğer Giderler</w:t>
            </w:r>
          </w:p>
        </w:tc>
        <w:tc>
          <w:tcPr>
            <w:tcW w:w="2743" w:type="dxa"/>
            <w:tcBorders>
              <w:top w:val="nil"/>
              <w:left w:val="nil"/>
              <w:bottom w:val="single" w:sz="4" w:space="0" w:color="auto"/>
              <w:right w:val="single" w:sz="8" w:space="0" w:color="auto"/>
            </w:tcBorders>
            <w:shd w:val="clear" w:color="auto" w:fill="auto"/>
            <w:noWrap/>
            <w:vAlign w:val="center"/>
            <w:hideMark/>
          </w:tcPr>
          <w:p w14:paraId="0033AC67" w14:textId="77777777" w:rsidR="001D40DC" w:rsidRPr="001D40DC" w:rsidRDefault="001D40DC" w:rsidP="001D40DC">
            <w:pPr>
              <w:spacing w:after="0" w:line="240" w:lineRule="auto"/>
              <w:jc w:val="center"/>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0.02</w:t>
            </w:r>
          </w:p>
        </w:tc>
        <w:tc>
          <w:tcPr>
            <w:tcW w:w="2253" w:type="dxa"/>
            <w:tcBorders>
              <w:top w:val="nil"/>
              <w:left w:val="single" w:sz="4" w:space="0" w:color="auto"/>
              <w:bottom w:val="single" w:sz="4" w:space="0" w:color="auto"/>
              <w:right w:val="single" w:sz="8" w:space="0" w:color="auto"/>
            </w:tcBorders>
            <w:shd w:val="clear" w:color="auto" w:fill="auto"/>
            <w:noWrap/>
            <w:vAlign w:val="center"/>
            <w:hideMark/>
          </w:tcPr>
          <w:p w14:paraId="5969A051" w14:textId="77777777" w:rsidR="001D40DC" w:rsidRPr="001D40DC" w:rsidRDefault="001D40DC" w:rsidP="001D40DC">
            <w:pPr>
              <w:spacing w:after="0" w:line="240" w:lineRule="auto"/>
              <w:jc w:val="center"/>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50,159.38</w:t>
            </w:r>
          </w:p>
        </w:tc>
      </w:tr>
      <w:tr w:rsidR="001D40DC" w:rsidRPr="001D40DC" w14:paraId="324D592A" w14:textId="77777777" w:rsidTr="001D40DC">
        <w:trPr>
          <w:trHeight w:val="292"/>
        </w:trPr>
        <w:tc>
          <w:tcPr>
            <w:tcW w:w="3834" w:type="dxa"/>
            <w:tcBorders>
              <w:top w:val="nil"/>
              <w:left w:val="single" w:sz="8" w:space="0" w:color="auto"/>
              <w:bottom w:val="single" w:sz="8" w:space="0" w:color="auto"/>
              <w:right w:val="single" w:sz="4" w:space="0" w:color="auto"/>
            </w:tcBorders>
            <w:shd w:val="clear" w:color="auto" w:fill="auto"/>
            <w:noWrap/>
            <w:vAlign w:val="center"/>
            <w:hideMark/>
          </w:tcPr>
          <w:p w14:paraId="392649FC" w14:textId="77777777" w:rsidR="001D40DC" w:rsidRPr="001D40DC" w:rsidRDefault="001D40DC" w:rsidP="001D40DC">
            <w:pPr>
              <w:spacing w:after="0" w:line="240" w:lineRule="auto"/>
              <w:rPr>
                <w:rFonts w:ascii="Times New Roman" w:eastAsia="Times New Roman" w:hAnsi="Times New Roman" w:cs="Times New Roman"/>
                <w:b/>
                <w:bCs/>
                <w:color w:val="000000"/>
                <w:sz w:val="24"/>
                <w:szCs w:val="24"/>
                <w:lang w:eastAsia="tr-TR"/>
              </w:rPr>
            </w:pPr>
            <w:r w:rsidRPr="001D40DC">
              <w:rPr>
                <w:rFonts w:ascii="Times New Roman" w:eastAsia="Times New Roman" w:hAnsi="Times New Roman" w:cs="Times New Roman"/>
                <w:b/>
                <w:bCs/>
                <w:color w:val="000000"/>
                <w:sz w:val="24"/>
                <w:szCs w:val="24"/>
                <w:lang w:eastAsia="tr-TR"/>
              </w:rPr>
              <w:t>Toplam</w:t>
            </w:r>
          </w:p>
        </w:tc>
        <w:tc>
          <w:tcPr>
            <w:tcW w:w="2743" w:type="dxa"/>
            <w:tcBorders>
              <w:top w:val="nil"/>
              <w:left w:val="nil"/>
              <w:bottom w:val="single" w:sz="8" w:space="0" w:color="auto"/>
              <w:right w:val="single" w:sz="4" w:space="0" w:color="auto"/>
            </w:tcBorders>
            <w:shd w:val="clear" w:color="auto" w:fill="auto"/>
            <w:noWrap/>
            <w:vAlign w:val="center"/>
            <w:hideMark/>
          </w:tcPr>
          <w:p w14:paraId="0CF11919" w14:textId="77777777" w:rsidR="001D40DC" w:rsidRPr="001D40DC" w:rsidRDefault="001D40DC" w:rsidP="001D40DC">
            <w:pPr>
              <w:spacing w:after="0" w:line="240" w:lineRule="auto"/>
              <w:jc w:val="center"/>
              <w:rPr>
                <w:rFonts w:ascii="Times New Roman" w:eastAsia="Times New Roman" w:hAnsi="Times New Roman" w:cs="Times New Roman"/>
                <w:b/>
                <w:bCs/>
                <w:color w:val="000000"/>
                <w:sz w:val="24"/>
                <w:szCs w:val="24"/>
                <w:lang w:eastAsia="tr-TR"/>
              </w:rPr>
            </w:pPr>
            <w:r w:rsidRPr="001D40DC">
              <w:rPr>
                <w:rFonts w:ascii="Times New Roman" w:eastAsia="Times New Roman" w:hAnsi="Times New Roman" w:cs="Times New Roman"/>
                <w:b/>
                <w:bCs/>
                <w:color w:val="000000"/>
                <w:sz w:val="24"/>
                <w:szCs w:val="24"/>
                <w:lang w:eastAsia="tr-TR"/>
              </w:rPr>
              <w:t>0.37</w:t>
            </w:r>
          </w:p>
        </w:tc>
        <w:tc>
          <w:tcPr>
            <w:tcW w:w="2253" w:type="dxa"/>
            <w:tcBorders>
              <w:top w:val="nil"/>
              <w:left w:val="nil"/>
              <w:bottom w:val="single" w:sz="4" w:space="0" w:color="auto"/>
              <w:right w:val="single" w:sz="8" w:space="0" w:color="auto"/>
            </w:tcBorders>
            <w:shd w:val="clear" w:color="auto" w:fill="auto"/>
            <w:noWrap/>
            <w:vAlign w:val="center"/>
            <w:hideMark/>
          </w:tcPr>
          <w:p w14:paraId="185C91AD" w14:textId="77777777" w:rsidR="001D40DC" w:rsidRPr="001D40DC" w:rsidRDefault="001D40DC" w:rsidP="001D40DC">
            <w:pPr>
              <w:spacing w:after="0" w:line="240" w:lineRule="auto"/>
              <w:jc w:val="center"/>
              <w:rPr>
                <w:rFonts w:ascii="Times New Roman" w:eastAsia="Times New Roman" w:hAnsi="Times New Roman" w:cs="Times New Roman"/>
                <w:b/>
                <w:bCs/>
                <w:color w:val="000000"/>
                <w:sz w:val="24"/>
                <w:szCs w:val="24"/>
                <w:lang w:eastAsia="tr-TR"/>
              </w:rPr>
            </w:pPr>
            <w:r w:rsidRPr="001D40DC">
              <w:rPr>
                <w:rFonts w:ascii="Times New Roman" w:eastAsia="Times New Roman" w:hAnsi="Times New Roman" w:cs="Times New Roman"/>
                <w:b/>
                <w:bCs/>
                <w:color w:val="000000"/>
                <w:sz w:val="24"/>
                <w:szCs w:val="24"/>
                <w:lang w:eastAsia="tr-TR"/>
              </w:rPr>
              <w:t>812,606.46</w:t>
            </w:r>
          </w:p>
        </w:tc>
      </w:tr>
      <w:tr w:rsidR="001D40DC" w:rsidRPr="001D40DC" w14:paraId="7EB1C0C2" w14:textId="77777777" w:rsidTr="001D40DC">
        <w:trPr>
          <w:trHeight w:val="279"/>
        </w:trPr>
        <w:tc>
          <w:tcPr>
            <w:tcW w:w="3834" w:type="dxa"/>
            <w:tcBorders>
              <w:top w:val="nil"/>
              <w:left w:val="nil"/>
              <w:bottom w:val="nil"/>
              <w:right w:val="nil"/>
            </w:tcBorders>
            <w:shd w:val="clear" w:color="auto" w:fill="auto"/>
            <w:noWrap/>
            <w:vAlign w:val="center"/>
            <w:hideMark/>
          </w:tcPr>
          <w:p w14:paraId="5C626664" w14:textId="77777777" w:rsidR="001D40DC" w:rsidRPr="001D40DC" w:rsidRDefault="001D40DC" w:rsidP="001D40DC">
            <w:pPr>
              <w:spacing w:after="0" w:line="240" w:lineRule="auto"/>
              <w:jc w:val="center"/>
              <w:rPr>
                <w:rFonts w:ascii="Times New Roman" w:eastAsia="Times New Roman" w:hAnsi="Times New Roman" w:cs="Times New Roman"/>
                <w:b/>
                <w:bCs/>
                <w:color w:val="000000"/>
                <w:sz w:val="24"/>
                <w:szCs w:val="24"/>
                <w:lang w:eastAsia="tr-TR"/>
              </w:rPr>
            </w:pPr>
          </w:p>
        </w:tc>
        <w:tc>
          <w:tcPr>
            <w:tcW w:w="2743" w:type="dxa"/>
            <w:tcBorders>
              <w:top w:val="nil"/>
              <w:left w:val="nil"/>
              <w:bottom w:val="nil"/>
              <w:right w:val="nil"/>
            </w:tcBorders>
            <w:shd w:val="clear" w:color="auto" w:fill="auto"/>
            <w:noWrap/>
            <w:vAlign w:val="center"/>
            <w:hideMark/>
          </w:tcPr>
          <w:p w14:paraId="45FEE4C4" w14:textId="77777777" w:rsidR="001D40DC" w:rsidRPr="001D40DC" w:rsidRDefault="001D40DC" w:rsidP="001D40DC">
            <w:pPr>
              <w:spacing w:after="0" w:line="240" w:lineRule="auto"/>
              <w:rPr>
                <w:rFonts w:ascii="Times New Roman" w:eastAsia="Times New Roman" w:hAnsi="Times New Roman" w:cs="Times New Roman"/>
                <w:b/>
                <w:bCs/>
                <w:sz w:val="20"/>
                <w:szCs w:val="20"/>
                <w:lang w:eastAsia="tr-TR"/>
              </w:rPr>
            </w:pPr>
          </w:p>
        </w:tc>
        <w:tc>
          <w:tcPr>
            <w:tcW w:w="2253" w:type="dxa"/>
            <w:tcBorders>
              <w:top w:val="nil"/>
              <w:left w:val="nil"/>
              <w:bottom w:val="nil"/>
              <w:right w:val="nil"/>
            </w:tcBorders>
            <w:shd w:val="clear" w:color="auto" w:fill="auto"/>
            <w:noWrap/>
            <w:vAlign w:val="center"/>
            <w:hideMark/>
          </w:tcPr>
          <w:p w14:paraId="5E9B1642" w14:textId="77777777" w:rsidR="001D40DC" w:rsidRPr="001D40DC" w:rsidRDefault="001D40DC" w:rsidP="001D40DC">
            <w:pPr>
              <w:spacing w:after="0" w:line="240" w:lineRule="auto"/>
              <w:rPr>
                <w:rFonts w:ascii="Times New Roman" w:eastAsia="Times New Roman" w:hAnsi="Times New Roman" w:cs="Times New Roman"/>
                <w:b/>
                <w:bCs/>
                <w:sz w:val="20"/>
                <w:szCs w:val="20"/>
                <w:lang w:eastAsia="tr-TR"/>
              </w:rPr>
            </w:pPr>
          </w:p>
        </w:tc>
      </w:tr>
      <w:tr w:rsidR="001D40DC" w:rsidRPr="001D40DC" w14:paraId="421741AE" w14:textId="77777777" w:rsidTr="001D40DC">
        <w:trPr>
          <w:trHeight w:val="292"/>
        </w:trPr>
        <w:tc>
          <w:tcPr>
            <w:tcW w:w="3834" w:type="dxa"/>
            <w:tcBorders>
              <w:top w:val="nil"/>
              <w:left w:val="nil"/>
              <w:bottom w:val="nil"/>
              <w:right w:val="nil"/>
            </w:tcBorders>
            <w:shd w:val="clear" w:color="auto" w:fill="auto"/>
            <w:noWrap/>
            <w:vAlign w:val="center"/>
            <w:hideMark/>
          </w:tcPr>
          <w:p w14:paraId="043CCA11" w14:textId="77777777" w:rsidR="001D40DC" w:rsidRPr="001D40DC" w:rsidRDefault="001D40DC" w:rsidP="001D40DC">
            <w:pPr>
              <w:spacing w:after="0" w:line="240" w:lineRule="auto"/>
              <w:rPr>
                <w:rFonts w:ascii="Times New Roman" w:eastAsia="Times New Roman" w:hAnsi="Times New Roman" w:cs="Times New Roman"/>
                <w:sz w:val="20"/>
                <w:szCs w:val="20"/>
                <w:lang w:eastAsia="tr-TR"/>
              </w:rPr>
            </w:pPr>
          </w:p>
        </w:tc>
        <w:tc>
          <w:tcPr>
            <w:tcW w:w="2743" w:type="dxa"/>
            <w:tcBorders>
              <w:top w:val="nil"/>
              <w:left w:val="nil"/>
              <w:bottom w:val="nil"/>
              <w:right w:val="nil"/>
            </w:tcBorders>
            <w:shd w:val="clear" w:color="auto" w:fill="auto"/>
            <w:noWrap/>
            <w:vAlign w:val="center"/>
            <w:hideMark/>
          </w:tcPr>
          <w:p w14:paraId="2B209DC2" w14:textId="77777777" w:rsidR="001D40DC" w:rsidRPr="001D40DC" w:rsidRDefault="001D40DC" w:rsidP="001D40DC">
            <w:pPr>
              <w:spacing w:after="0" w:line="240" w:lineRule="auto"/>
              <w:rPr>
                <w:rFonts w:ascii="Times New Roman" w:eastAsia="Times New Roman" w:hAnsi="Times New Roman" w:cs="Times New Roman"/>
                <w:sz w:val="20"/>
                <w:szCs w:val="20"/>
                <w:lang w:eastAsia="tr-TR"/>
              </w:rPr>
            </w:pPr>
          </w:p>
        </w:tc>
        <w:tc>
          <w:tcPr>
            <w:tcW w:w="2253" w:type="dxa"/>
            <w:tcBorders>
              <w:top w:val="nil"/>
              <w:left w:val="nil"/>
              <w:bottom w:val="nil"/>
              <w:right w:val="nil"/>
            </w:tcBorders>
            <w:shd w:val="clear" w:color="auto" w:fill="auto"/>
            <w:noWrap/>
            <w:vAlign w:val="center"/>
            <w:hideMark/>
          </w:tcPr>
          <w:p w14:paraId="1D50DC11" w14:textId="77777777" w:rsidR="001D40DC" w:rsidRPr="001D40DC" w:rsidRDefault="001D40DC" w:rsidP="001D40DC">
            <w:pPr>
              <w:spacing w:after="0" w:line="240" w:lineRule="auto"/>
              <w:rPr>
                <w:rFonts w:ascii="Times New Roman" w:eastAsia="Times New Roman" w:hAnsi="Times New Roman" w:cs="Times New Roman"/>
                <w:sz w:val="20"/>
                <w:szCs w:val="20"/>
                <w:lang w:eastAsia="tr-TR"/>
              </w:rPr>
            </w:pPr>
          </w:p>
        </w:tc>
      </w:tr>
      <w:tr w:rsidR="001D40DC" w:rsidRPr="001D40DC" w14:paraId="4EB6B9D9" w14:textId="77777777" w:rsidTr="001D40DC">
        <w:trPr>
          <w:trHeight w:val="279"/>
        </w:trPr>
        <w:tc>
          <w:tcPr>
            <w:tcW w:w="8831"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13F9152" w14:textId="77777777" w:rsidR="001D40DC" w:rsidRPr="001D40DC" w:rsidRDefault="001D40DC" w:rsidP="001D40DC">
            <w:pPr>
              <w:spacing w:after="0" w:line="240" w:lineRule="auto"/>
              <w:jc w:val="center"/>
              <w:rPr>
                <w:rFonts w:ascii="Times New Roman" w:eastAsia="Times New Roman" w:hAnsi="Times New Roman" w:cs="Times New Roman"/>
                <w:b/>
                <w:bCs/>
                <w:color w:val="000000"/>
                <w:sz w:val="24"/>
                <w:szCs w:val="24"/>
                <w:lang w:eastAsia="tr-TR"/>
              </w:rPr>
            </w:pPr>
            <w:r w:rsidRPr="001D40DC">
              <w:rPr>
                <w:rFonts w:ascii="Times New Roman" w:eastAsia="Times New Roman" w:hAnsi="Times New Roman" w:cs="Times New Roman"/>
                <w:b/>
                <w:bCs/>
                <w:color w:val="000000"/>
                <w:sz w:val="24"/>
                <w:szCs w:val="24"/>
                <w:lang w:eastAsia="tr-TR"/>
              </w:rPr>
              <w:t>1 Ocak - 30 Haziran 2024</w:t>
            </w:r>
          </w:p>
        </w:tc>
      </w:tr>
      <w:tr w:rsidR="001D40DC" w:rsidRPr="001D40DC" w14:paraId="48D0D91A" w14:textId="77777777" w:rsidTr="001D40DC">
        <w:trPr>
          <w:trHeight w:val="279"/>
        </w:trPr>
        <w:tc>
          <w:tcPr>
            <w:tcW w:w="6577"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04A979" w14:textId="77777777" w:rsidR="001D40DC" w:rsidRPr="001D40DC" w:rsidRDefault="001D40DC" w:rsidP="001D40DC">
            <w:pPr>
              <w:spacing w:after="0" w:line="240" w:lineRule="auto"/>
              <w:rPr>
                <w:rFonts w:ascii="Times New Roman" w:eastAsia="Times New Roman" w:hAnsi="Times New Roman" w:cs="Times New Roman"/>
                <w:sz w:val="24"/>
                <w:szCs w:val="24"/>
                <w:lang w:eastAsia="tr-TR"/>
              </w:rPr>
            </w:pPr>
            <w:r w:rsidRPr="001D40DC">
              <w:rPr>
                <w:rFonts w:ascii="Times New Roman" w:eastAsia="Times New Roman" w:hAnsi="Times New Roman" w:cs="Times New Roman"/>
                <w:sz w:val="24"/>
                <w:szCs w:val="24"/>
                <w:lang w:eastAsia="tr-TR"/>
              </w:rPr>
              <w:t>Ortalama Fon Portföy Değeri</w:t>
            </w:r>
          </w:p>
        </w:tc>
        <w:tc>
          <w:tcPr>
            <w:tcW w:w="2253" w:type="dxa"/>
            <w:tcBorders>
              <w:top w:val="nil"/>
              <w:left w:val="nil"/>
              <w:bottom w:val="single" w:sz="4" w:space="0" w:color="auto"/>
              <w:right w:val="single" w:sz="8" w:space="0" w:color="auto"/>
            </w:tcBorders>
            <w:shd w:val="clear" w:color="auto" w:fill="auto"/>
            <w:noWrap/>
            <w:vAlign w:val="center"/>
            <w:hideMark/>
          </w:tcPr>
          <w:p w14:paraId="74E67985" w14:textId="77777777" w:rsidR="001D40DC" w:rsidRPr="001D40DC" w:rsidRDefault="001D40DC" w:rsidP="001D40DC">
            <w:pPr>
              <w:spacing w:after="0" w:line="240" w:lineRule="auto"/>
              <w:jc w:val="center"/>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219,505,275.84</w:t>
            </w:r>
          </w:p>
        </w:tc>
      </w:tr>
      <w:tr w:rsidR="001D40DC" w:rsidRPr="001D40DC" w14:paraId="6C310903" w14:textId="77777777" w:rsidTr="001D40DC">
        <w:trPr>
          <w:trHeight w:val="279"/>
        </w:trPr>
        <w:tc>
          <w:tcPr>
            <w:tcW w:w="6577" w:type="dxa"/>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25A8F8" w14:textId="77777777" w:rsidR="001D40DC" w:rsidRPr="001D40DC" w:rsidRDefault="001D40DC" w:rsidP="001D40DC">
            <w:pPr>
              <w:spacing w:after="0" w:line="240" w:lineRule="auto"/>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Toplam Faaliyet Giderleri</w:t>
            </w:r>
          </w:p>
        </w:tc>
        <w:tc>
          <w:tcPr>
            <w:tcW w:w="2253" w:type="dxa"/>
            <w:tcBorders>
              <w:top w:val="nil"/>
              <w:left w:val="nil"/>
              <w:bottom w:val="single" w:sz="4" w:space="0" w:color="auto"/>
              <w:right w:val="single" w:sz="8" w:space="0" w:color="auto"/>
            </w:tcBorders>
            <w:shd w:val="clear" w:color="auto" w:fill="auto"/>
            <w:noWrap/>
            <w:vAlign w:val="center"/>
            <w:hideMark/>
          </w:tcPr>
          <w:p w14:paraId="32CFE280" w14:textId="77777777" w:rsidR="001D40DC" w:rsidRPr="001D40DC" w:rsidRDefault="001D40DC" w:rsidP="001D40DC">
            <w:pPr>
              <w:spacing w:after="0" w:line="240" w:lineRule="auto"/>
              <w:jc w:val="center"/>
              <w:rPr>
                <w:rFonts w:ascii="Times New Roman" w:eastAsia="Times New Roman" w:hAnsi="Times New Roman" w:cs="Times New Roman"/>
                <w:color w:val="000000"/>
                <w:sz w:val="24"/>
                <w:szCs w:val="24"/>
                <w:lang w:eastAsia="tr-TR"/>
              </w:rPr>
            </w:pPr>
            <w:r w:rsidRPr="001D40DC">
              <w:rPr>
                <w:rFonts w:ascii="Times New Roman" w:eastAsia="Times New Roman" w:hAnsi="Times New Roman" w:cs="Times New Roman"/>
                <w:color w:val="000000"/>
                <w:sz w:val="24"/>
                <w:szCs w:val="24"/>
                <w:lang w:eastAsia="tr-TR"/>
              </w:rPr>
              <w:t>812,606.46</w:t>
            </w:r>
          </w:p>
        </w:tc>
      </w:tr>
      <w:tr w:rsidR="001D40DC" w:rsidRPr="001D40DC" w14:paraId="5CE9FAC3" w14:textId="77777777" w:rsidTr="001D40DC">
        <w:trPr>
          <w:trHeight w:val="292"/>
        </w:trPr>
        <w:tc>
          <w:tcPr>
            <w:tcW w:w="6577" w:type="dxa"/>
            <w:gridSpan w:val="2"/>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033A0FE" w14:textId="77777777" w:rsidR="001D40DC" w:rsidRPr="001D40DC" w:rsidRDefault="001D40DC" w:rsidP="001D40DC">
            <w:pPr>
              <w:spacing w:after="0" w:line="240" w:lineRule="auto"/>
              <w:rPr>
                <w:rFonts w:ascii="Times New Roman" w:eastAsia="Times New Roman" w:hAnsi="Times New Roman" w:cs="Times New Roman"/>
                <w:sz w:val="24"/>
                <w:szCs w:val="24"/>
                <w:lang w:eastAsia="tr-TR"/>
              </w:rPr>
            </w:pPr>
            <w:r w:rsidRPr="001D40DC">
              <w:rPr>
                <w:rFonts w:ascii="Times New Roman" w:eastAsia="Times New Roman" w:hAnsi="Times New Roman" w:cs="Times New Roman"/>
                <w:sz w:val="24"/>
                <w:szCs w:val="24"/>
                <w:lang w:eastAsia="tr-TR"/>
              </w:rPr>
              <w:t>Toplam Faaliyet Giderleri / Ortalama Portföy Değeri (%)</w:t>
            </w:r>
          </w:p>
        </w:tc>
        <w:tc>
          <w:tcPr>
            <w:tcW w:w="2253" w:type="dxa"/>
            <w:tcBorders>
              <w:top w:val="nil"/>
              <w:left w:val="nil"/>
              <w:bottom w:val="single" w:sz="8" w:space="0" w:color="auto"/>
              <w:right w:val="single" w:sz="8" w:space="0" w:color="auto"/>
            </w:tcBorders>
            <w:shd w:val="clear" w:color="auto" w:fill="auto"/>
            <w:noWrap/>
            <w:vAlign w:val="center"/>
            <w:hideMark/>
          </w:tcPr>
          <w:p w14:paraId="47B3EF23" w14:textId="77777777" w:rsidR="001D40DC" w:rsidRPr="001D40DC" w:rsidRDefault="001D40DC" w:rsidP="001D40DC">
            <w:pPr>
              <w:spacing w:after="0" w:line="240" w:lineRule="auto"/>
              <w:jc w:val="center"/>
              <w:rPr>
                <w:rFonts w:ascii="Times New Roman" w:eastAsia="Times New Roman" w:hAnsi="Times New Roman" w:cs="Times New Roman"/>
                <w:sz w:val="24"/>
                <w:szCs w:val="24"/>
                <w:lang w:eastAsia="tr-TR"/>
              </w:rPr>
            </w:pPr>
            <w:r w:rsidRPr="001D40DC">
              <w:rPr>
                <w:rFonts w:ascii="Times New Roman" w:eastAsia="Times New Roman" w:hAnsi="Times New Roman" w:cs="Times New Roman"/>
                <w:sz w:val="24"/>
                <w:szCs w:val="24"/>
                <w:lang w:eastAsia="tr-TR"/>
              </w:rPr>
              <w:t>0.37</w:t>
            </w:r>
          </w:p>
        </w:tc>
      </w:tr>
    </w:tbl>
    <w:p w14:paraId="120A2E0D" w14:textId="6B4286A9" w:rsidR="00460552" w:rsidRPr="00CE6762" w:rsidRDefault="00460552" w:rsidP="00CE6762">
      <w:pPr>
        <w:spacing w:after="0"/>
        <w:ind w:left="360"/>
        <w:rPr>
          <w:rFonts w:ascii="Times New Roman" w:hAnsi="Times New Roman" w:cs="Times New Roman"/>
        </w:rPr>
      </w:pPr>
    </w:p>
    <w:p w14:paraId="48E2ACEA" w14:textId="122E373F" w:rsidR="00237C1F" w:rsidRPr="00CE6762" w:rsidRDefault="00237C1F" w:rsidP="00CE6762">
      <w:pPr>
        <w:spacing w:after="0"/>
        <w:ind w:left="360"/>
        <w:rPr>
          <w:rFonts w:ascii="Times New Roman" w:hAnsi="Times New Roman" w:cs="Times New Roman"/>
        </w:rPr>
      </w:pPr>
    </w:p>
    <w:p w14:paraId="47763012" w14:textId="77777777" w:rsidR="00D34E03" w:rsidRDefault="00D34E03" w:rsidP="00CC7520">
      <w:pPr>
        <w:pStyle w:val="ListeParagraf"/>
        <w:spacing w:after="0"/>
        <w:rPr>
          <w:rFonts w:ascii="Times New Roman" w:hAnsi="Times New Roman" w:cs="Times New Roman"/>
          <w:sz w:val="24"/>
          <w:szCs w:val="24"/>
        </w:rPr>
      </w:pPr>
    </w:p>
    <w:p w14:paraId="784E2568" w14:textId="057EE930" w:rsidR="00EB4DFF" w:rsidRDefault="00EE1C8B" w:rsidP="00D34E03">
      <w:pPr>
        <w:pStyle w:val="ListeParagraf"/>
        <w:numPr>
          <w:ilvl w:val="0"/>
          <w:numId w:val="3"/>
        </w:numPr>
        <w:spacing w:after="0"/>
        <w:ind w:left="360" w:hanging="76"/>
        <w:jc w:val="both"/>
        <w:rPr>
          <w:rFonts w:ascii="Times New Roman" w:hAnsi="Times New Roman" w:cs="Times New Roman"/>
          <w:sz w:val="24"/>
          <w:szCs w:val="24"/>
        </w:rPr>
      </w:pPr>
      <w:r w:rsidRPr="00BF54DE">
        <w:rPr>
          <w:rFonts w:ascii="Times New Roman" w:hAnsi="Times New Roman" w:cs="Times New Roman"/>
          <w:sz w:val="24"/>
          <w:szCs w:val="24"/>
        </w:rPr>
        <w:t>P</w:t>
      </w:r>
      <w:r w:rsidR="00CC7520" w:rsidRPr="00BF54DE">
        <w:rPr>
          <w:rFonts w:ascii="Times New Roman" w:hAnsi="Times New Roman" w:cs="Times New Roman"/>
          <w:sz w:val="24"/>
          <w:szCs w:val="24"/>
        </w:rPr>
        <w:t>erformans sunum dönemi içinde yatırım stratejisinde</w:t>
      </w:r>
      <w:r w:rsidR="00A80C2E">
        <w:rPr>
          <w:rFonts w:ascii="Times New Roman" w:hAnsi="Times New Roman" w:cs="Times New Roman"/>
          <w:sz w:val="24"/>
          <w:szCs w:val="24"/>
        </w:rPr>
        <w:t xml:space="preserve"> ve eşik değerinde herhangi bir değişiklik yapılmamıştır.</w:t>
      </w:r>
    </w:p>
    <w:p w14:paraId="739B57A0" w14:textId="77777777" w:rsidR="00EB4DFF" w:rsidRDefault="00EB4DFF" w:rsidP="00EB4DFF">
      <w:pPr>
        <w:pStyle w:val="ListeParagraf"/>
        <w:spacing w:after="0"/>
        <w:ind w:left="360"/>
        <w:jc w:val="both"/>
        <w:rPr>
          <w:rFonts w:ascii="Times New Roman" w:hAnsi="Times New Roman" w:cs="Times New Roman"/>
          <w:sz w:val="24"/>
          <w:szCs w:val="24"/>
        </w:rPr>
      </w:pPr>
    </w:p>
    <w:p w14:paraId="788872AE" w14:textId="77777777" w:rsidR="00D34E03" w:rsidRPr="00D34E03" w:rsidRDefault="00D34E03" w:rsidP="00D34E03">
      <w:pPr>
        <w:pStyle w:val="ListeParagraf"/>
        <w:spacing w:after="0"/>
        <w:ind w:left="360"/>
        <w:jc w:val="both"/>
        <w:rPr>
          <w:rFonts w:ascii="Times New Roman" w:hAnsi="Times New Roman" w:cs="Times New Roman"/>
          <w:sz w:val="24"/>
          <w:szCs w:val="24"/>
        </w:rPr>
      </w:pPr>
    </w:p>
    <w:p w14:paraId="7C35BAE5" w14:textId="77777777" w:rsidR="00F42315" w:rsidRDefault="00F42315" w:rsidP="00F42315">
      <w:pPr>
        <w:pStyle w:val="ListeParagraf"/>
        <w:numPr>
          <w:ilvl w:val="0"/>
          <w:numId w:val="3"/>
        </w:numPr>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lastRenderedPageBreak/>
        <w:t>a)</w:t>
      </w:r>
      <w:r>
        <w:rPr>
          <w:rFonts w:ascii="Times New Roman" w:hAnsi="Times New Roman" w:cs="Times New Roman"/>
          <w:sz w:val="24"/>
          <w:szCs w:val="24"/>
        </w:rPr>
        <w:t xml:space="preserve"> Kurumlar Vergisi Düzenlemesi Açısından: 5520 sayılı Kurumlar Vergisi Kanunu’nun 5'inci maddesinin 1 numaralı bendinin (d) alt bendi uyarınca, menkul kıymet yatırım fonlarının portföy işletmeciliğinden doğan kazançları kurumlar vergisinden istisnadır. </w:t>
      </w:r>
    </w:p>
    <w:p w14:paraId="6C7680CB" w14:textId="300AB8AC" w:rsidR="008A60CB" w:rsidRDefault="00F42315" w:rsidP="00D34E03">
      <w:pPr>
        <w:pStyle w:val="ListeParagraf"/>
        <w:tabs>
          <w:tab w:val="left" w:pos="426"/>
          <w:tab w:val="left" w:pos="9356"/>
        </w:tabs>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Gelir Vergisi Düzenlemesi Açısından: Fonların portföy işletmeciliği kazançları, Gelir Vergisi Kanunu’nun geçici 67. maddesinin (8) numaralı bendi uyarınca, %0 oranında gelir vergisi tevfikatına tabidir.</w:t>
      </w:r>
    </w:p>
    <w:p w14:paraId="265B7627" w14:textId="77777777" w:rsidR="00D34E03" w:rsidRDefault="00D34E03" w:rsidP="00D34E03">
      <w:pPr>
        <w:pStyle w:val="ListeParagraf"/>
        <w:tabs>
          <w:tab w:val="left" w:pos="426"/>
          <w:tab w:val="left" w:pos="9356"/>
        </w:tabs>
        <w:jc w:val="both"/>
        <w:rPr>
          <w:rFonts w:ascii="Times New Roman" w:hAnsi="Times New Roman" w:cs="Times New Roman"/>
          <w:sz w:val="24"/>
          <w:szCs w:val="24"/>
        </w:rPr>
      </w:pPr>
    </w:p>
    <w:p w14:paraId="1937CA62" w14:textId="77777777" w:rsidR="00275FAF" w:rsidRDefault="00275FAF" w:rsidP="00275FAF">
      <w:pPr>
        <w:pStyle w:val="ListeParagraf"/>
        <w:numPr>
          <w:ilvl w:val="0"/>
          <w:numId w:val="1"/>
        </w:numPr>
        <w:spacing w:after="0"/>
        <w:rPr>
          <w:rFonts w:ascii="Times New Roman" w:hAnsi="Times New Roman" w:cs="Times New Roman"/>
          <w:b/>
          <w:sz w:val="24"/>
          <w:szCs w:val="24"/>
        </w:rPr>
      </w:pPr>
      <w:r w:rsidRPr="00275FAF">
        <w:rPr>
          <w:rFonts w:ascii="Times New Roman" w:hAnsi="Times New Roman" w:cs="Times New Roman"/>
          <w:b/>
          <w:sz w:val="24"/>
          <w:szCs w:val="24"/>
        </w:rPr>
        <w:t>İLAVE BİLGİLER VE AÇIKLAMALAR</w:t>
      </w:r>
    </w:p>
    <w:p w14:paraId="0C5BD4F7" w14:textId="77777777" w:rsidR="00275FAF" w:rsidRDefault="00275FAF" w:rsidP="001B1C6E">
      <w:pPr>
        <w:spacing w:after="0"/>
        <w:ind w:left="360"/>
        <w:jc w:val="both"/>
        <w:rPr>
          <w:rFonts w:ascii="Times New Roman" w:hAnsi="Times New Roman" w:cs="Times New Roman"/>
          <w:b/>
          <w:sz w:val="24"/>
          <w:szCs w:val="24"/>
        </w:rPr>
      </w:pPr>
    </w:p>
    <w:p w14:paraId="3A05C685" w14:textId="696ECC11" w:rsidR="00275FAF" w:rsidRPr="00D42D4B" w:rsidRDefault="00275FAF" w:rsidP="00D42D4B">
      <w:pPr>
        <w:spacing w:after="0"/>
        <w:ind w:left="709" w:firstLine="567"/>
        <w:jc w:val="both"/>
        <w:rPr>
          <w:rFonts w:ascii="Times New Roman" w:hAnsi="Times New Roman" w:cs="Times New Roman"/>
          <w:b/>
          <w:sz w:val="24"/>
          <w:szCs w:val="24"/>
        </w:rPr>
      </w:pPr>
      <w:r w:rsidRPr="00D42D4B">
        <w:rPr>
          <w:rFonts w:ascii="Times New Roman" w:hAnsi="Times New Roman" w:cs="Times New Roman"/>
          <w:sz w:val="24"/>
          <w:szCs w:val="24"/>
        </w:rPr>
        <w:t>Fon, Performans Sunuş Raporu’nu, Sermaye Piyasası Kurulu’nun (“SPK”) 1 Temmuz 2014 tarihinde yürürlüğe giren “Bireysel Portföylerin ve Kolektif Yatırım Kuruluşlarının Performans Sunumuna, Performansa Dayalı Ücretlendirilmesine ve Kolektif Yatırım Kuruluşlarını Notlandırma ve Sıralama Faaliyetlerine İlişkin Esaslar Hakkında Tebliğ (VII-128.5</w:t>
      </w:r>
      <w:r w:rsidR="0023421B" w:rsidRPr="00D42D4B">
        <w:rPr>
          <w:rFonts w:ascii="Times New Roman" w:hAnsi="Times New Roman" w:cs="Times New Roman"/>
          <w:sz w:val="24"/>
          <w:szCs w:val="24"/>
        </w:rPr>
        <w:t>)” inin</w:t>
      </w:r>
      <w:r w:rsidRPr="00D42D4B">
        <w:rPr>
          <w:rFonts w:ascii="Times New Roman" w:hAnsi="Times New Roman" w:cs="Times New Roman"/>
          <w:sz w:val="24"/>
          <w:szCs w:val="24"/>
        </w:rPr>
        <w:t xml:space="preserve"> (“Tebliğ”) hükümleri doğrultusunda hazırlanmıştır.</w:t>
      </w:r>
    </w:p>
    <w:p w14:paraId="0A9DBE67" w14:textId="77777777" w:rsidR="0041052D" w:rsidRPr="00275FAF" w:rsidRDefault="0041052D" w:rsidP="00D42D4B">
      <w:pPr>
        <w:pStyle w:val="ListeParagraf"/>
        <w:spacing w:after="0"/>
        <w:ind w:left="709" w:firstLine="567"/>
        <w:jc w:val="both"/>
        <w:rPr>
          <w:rFonts w:ascii="Times New Roman" w:hAnsi="Times New Roman" w:cs="Times New Roman"/>
          <w:b/>
          <w:sz w:val="24"/>
          <w:szCs w:val="24"/>
        </w:rPr>
      </w:pPr>
    </w:p>
    <w:p w14:paraId="609E1FFA" w14:textId="35A1C1CC" w:rsidR="00275FAF" w:rsidRPr="00D42D4B" w:rsidRDefault="00275FAF" w:rsidP="00D42D4B">
      <w:pPr>
        <w:spacing w:after="0"/>
        <w:ind w:left="709" w:firstLine="567"/>
        <w:jc w:val="both"/>
        <w:rPr>
          <w:rFonts w:ascii="Times New Roman" w:hAnsi="Times New Roman" w:cs="Times New Roman"/>
          <w:sz w:val="24"/>
          <w:szCs w:val="24"/>
        </w:rPr>
      </w:pPr>
      <w:r w:rsidRPr="00D42D4B">
        <w:rPr>
          <w:rFonts w:ascii="Times New Roman" w:hAnsi="Times New Roman" w:cs="Times New Roman"/>
          <w:sz w:val="24"/>
          <w:szCs w:val="24"/>
        </w:rPr>
        <w:t>Yatırımcılar Fon’a yatırım yapmadan önce Fon’la ilgili temel yatırım risklerini değerlendirmelidirler. Fon’un maruz kalabileceği temel risklerden kaynaklanabilecek değişimler sonucunda Fon birim pay fiyatındaki olası düşüşlere bağlı olarak yatırımlarının değerinin başlangıç değerinin altına düşebileceğini yatırımcılar göz önünde bulundurmalıdırlar. Fon’un</w:t>
      </w:r>
      <w:r w:rsidR="001B1C6E" w:rsidRPr="00D42D4B">
        <w:rPr>
          <w:rFonts w:ascii="Times New Roman" w:hAnsi="Times New Roman" w:cs="Times New Roman"/>
          <w:sz w:val="24"/>
          <w:szCs w:val="24"/>
        </w:rPr>
        <w:t xml:space="preserve"> maruz kalabileceği riskler aşağıdaki gibidir:</w:t>
      </w:r>
    </w:p>
    <w:p w14:paraId="7070D9CD" w14:textId="77777777" w:rsidR="00BA2F1E" w:rsidRPr="00BA2F1E" w:rsidRDefault="00BA2F1E" w:rsidP="00BA2F1E">
      <w:pPr>
        <w:pStyle w:val="ListeParagraf"/>
        <w:rPr>
          <w:rFonts w:ascii="Times New Roman" w:hAnsi="Times New Roman" w:cs="Times New Roman"/>
          <w:sz w:val="24"/>
          <w:szCs w:val="24"/>
        </w:rPr>
      </w:pPr>
    </w:p>
    <w:p w14:paraId="715241D2" w14:textId="77777777" w:rsidR="00D42D4B"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Piyasa Riski:</w:t>
      </w:r>
      <w:r w:rsidRPr="00BA2F1E">
        <w:rPr>
          <w:rFonts w:ascii="Times New Roman" w:hAnsi="Times New Roman"/>
          <w:sz w:val="24"/>
          <w:szCs w:val="24"/>
        </w:rPr>
        <w:t xml:space="preserve"> Piyasa riski ile borçlanmayı temsil eden finansal araçların, ortaklık paylarının, diğer menkul kıymetlerin, döviz ve dövize endeksli finansal araçlara dayalı türev sözleşmelere ilişkin taşınan pozisyonların değerinde, faiz oranları, ortaklık payı fiyatları ve döviz kurlarındaki dalgalanmalar nedeniyle meydana gelebilecek zarar riski ifade edilmektedir. Söz konusu risklerin detaylarına aşağıda yer verilmektedir:</w:t>
      </w:r>
    </w:p>
    <w:p w14:paraId="7BB40CA6" w14:textId="77777777" w:rsidR="00D42D4B" w:rsidRPr="00D42D4B" w:rsidRDefault="00D42D4B" w:rsidP="00D42D4B">
      <w:pPr>
        <w:pStyle w:val="ListeParagraf"/>
        <w:rPr>
          <w:rFonts w:ascii="Times New Roman" w:hAnsi="Times New Roman"/>
          <w:sz w:val="24"/>
          <w:szCs w:val="24"/>
        </w:rPr>
      </w:pPr>
    </w:p>
    <w:p w14:paraId="6251F883" w14:textId="5160B802" w:rsidR="00BA2F1E" w:rsidRPr="00CE6762" w:rsidRDefault="00BA2F1E" w:rsidP="00CE6762">
      <w:pPr>
        <w:pStyle w:val="ListeParagraf"/>
        <w:numPr>
          <w:ilvl w:val="0"/>
          <w:numId w:val="9"/>
        </w:numPr>
        <w:ind w:left="1134" w:firstLine="0"/>
        <w:jc w:val="both"/>
        <w:rPr>
          <w:rFonts w:ascii="Times New Roman" w:hAnsi="Times New Roman"/>
          <w:sz w:val="24"/>
          <w:szCs w:val="24"/>
        </w:rPr>
      </w:pPr>
      <w:r w:rsidRPr="00CE6762">
        <w:rPr>
          <w:rFonts w:ascii="Times New Roman" w:hAnsi="Times New Roman"/>
          <w:b/>
          <w:sz w:val="24"/>
          <w:szCs w:val="24"/>
        </w:rPr>
        <w:t>Faiz Oranı Riski</w:t>
      </w:r>
      <w:r w:rsidRPr="00CE6762">
        <w:rPr>
          <w:rFonts w:ascii="Times New Roman" w:hAnsi="Times New Roman"/>
          <w:sz w:val="24"/>
          <w:szCs w:val="24"/>
        </w:rPr>
        <w:t xml:space="preserve">: Fon portföyüne faize dayalı varlıkların (borçlanma aracı, ters repo vb) dahil edilmesi halinde, söz konuş varlıkların değerinde piyasalarda yaşanabilecek faiz oranları değişimleri nedeniyle oluşan riski ifade eder. </w:t>
      </w:r>
    </w:p>
    <w:p w14:paraId="7DB79526" w14:textId="4E4B15AF" w:rsidR="00BA2F1E" w:rsidRPr="00CE6762" w:rsidRDefault="00BA2F1E" w:rsidP="00CE6762">
      <w:pPr>
        <w:pStyle w:val="ListeParagraf"/>
        <w:numPr>
          <w:ilvl w:val="0"/>
          <w:numId w:val="9"/>
        </w:numPr>
        <w:ind w:left="1134" w:firstLine="0"/>
        <w:jc w:val="both"/>
        <w:rPr>
          <w:rFonts w:ascii="Times New Roman" w:hAnsi="Times New Roman"/>
          <w:sz w:val="24"/>
          <w:szCs w:val="24"/>
        </w:rPr>
      </w:pPr>
      <w:r w:rsidRPr="00CE6762">
        <w:rPr>
          <w:rFonts w:ascii="Times New Roman" w:hAnsi="Times New Roman"/>
          <w:b/>
          <w:sz w:val="24"/>
          <w:szCs w:val="24"/>
        </w:rPr>
        <w:t xml:space="preserve">Kur Riski: </w:t>
      </w:r>
      <w:r w:rsidRPr="00CE6762">
        <w:rPr>
          <w:rFonts w:ascii="Times New Roman" w:hAnsi="Times New Roman"/>
          <w:sz w:val="24"/>
          <w:szCs w:val="24"/>
        </w:rPr>
        <w:t xml:space="preserve">Fon portföyüne yabancı para cinsinden varlıkların dahil edilmesi halinde, döviz kurlarında meydana gelebilecek değişiklikler nedeniyle Fon’un maruz kalacağı zarar olasılığını ifade etmektedir. </w:t>
      </w:r>
    </w:p>
    <w:p w14:paraId="06E1D1A9" w14:textId="357B7B6B" w:rsidR="00BA2F1E" w:rsidRPr="00CE6762" w:rsidRDefault="00BA2F1E" w:rsidP="00CE6762">
      <w:pPr>
        <w:pStyle w:val="ListeParagraf"/>
        <w:numPr>
          <w:ilvl w:val="0"/>
          <w:numId w:val="9"/>
        </w:numPr>
        <w:ind w:left="1134" w:firstLine="0"/>
        <w:jc w:val="both"/>
        <w:rPr>
          <w:rFonts w:ascii="Times New Roman" w:hAnsi="Times New Roman"/>
          <w:sz w:val="24"/>
          <w:szCs w:val="24"/>
        </w:rPr>
      </w:pPr>
      <w:r w:rsidRPr="00CE6762">
        <w:rPr>
          <w:rFonts w:ascii="Times New Roman" w:hAnsi="Times New Roman"/>
          <w:b/>
          <w:sz w:val="24"/>
          <w:szCs w:val="24"/>
        </w:rPr>
        <w:t>Ortaklık Payı Fiyat Riski:</w:t>
      </w:r>
      <w:r w:rsidRPr="00CE6762">
        <w:rPr>
          <w:rFonts w:ascii="Times New Roman" w:hAnsi="Times New Roman"/>
          <w:sz w:val="24"/>
          <w:szCs w:val="24"/>
        </w:rPr>
        <w:t xml:space="preserve"> Fon portföyüne ortaklık payı dahil edilmesi halinde, Fon portföyünde bulunan ortaklık paylarının fiyatlarında meydana gelebilecek değişiklikler nedeniyle portföyün maruz kalacağı zarar olasılığını ifade etmektedir. </w:t>
      </w:r>
    </w:p>
    <w:p w14:paraId="203507CE" w14:textId="334D53C3" w:rsidR="00BA2F1E" w:rsidRDefault="00BA2F1E" w:rsidP="00CE6762">
      <w:pPr>
        <w:pStyle w:val="ListeParagraf"/>
        <w:numPr>
          <w:ilvl w:val="0"/>
          <w:numId w:val="9"/>
        </w:numPr>
        <w:ind w:left="1134" w:firstLine="0"/>
        <w:jc w:val="both"/>
        <w:rPr>
          <w:rFonts w:ascii="Times New Roman" w:hAnsi="Times New Roman"/>
          <w:sz w:val="24"/>
          <w:szCs w:val="24"/>
        </w:rPr>
      </w:pPr>
      <w:r w:rsidRPr="00CE6762">
        <w:rPr>
          <w:rFonts w:ascii="Times New Roman" w:hAnsi="Times New Roman"/>
          <w:b/>
          <w:sz w:val="24"/>
          <w:szCs w:val="24"/>
        </w:rPr>
        <w:t>Kar Payı Oranı Riski:</w:t>
      </w:r>
      <w:r w:rsidRPr="00CE6762">
        <w:rPr>
          <w:rFonts w:ascii="Times New Roman" w:hAnsi="Times New Roman"/>
          <w:sz w:val="24"/>
          <w:szCs w:val="24"/>
        </w:rPr>
        <w:t xml:space="preserve"> Fon portföyüne kara katılıma dayalı varlıkların (katılma hesabı, kira sertifikaları vb.) dahil edilmesi halinde, söz konusu varlıkların değerinde piyasalarda yaşanabilecek kar payı oranları değişimleri nedeniyle oluşan riski ifade etmektedir.  </w:t>
      </w:r>
    </w:p>
    <w:p w14:paraId="38932168" w14:textId="77777777" w:rsidR="00CE6762" w:rsidRPr="00CE6762" w:rsidRDefault="00CE6762" w:rsidP="00CE6762">
      <w:pPr>
        <w:pStyle w:val="ListeParagraf"/>
        <w:ind w:left="1134"/>
        <w:jc w:val="both"/>
        <w:rPr>
          <w:rFonts w:ascii="Times New Roman" w:hAnsi="Times New Roman"/>
          <w:sz w:val="24"/>
          <w:szCs w:val="24"/>
        </w:rPr>
      </w:pPr>
    </w:p>
    <w:p w14:paraId="1AFEB0E2" w14:textId="7D16121D" w:rsidR="00BA2F1E" w:rsidRPr="00BA2F1E" w:rsidRDefault="00BA2F1E" w:rsidP="00BA2F1E">
      <w:pPr>
        <w:pStyle w:val="ListeParagraf"/>
        <w:numPr>
          <w:ilvl w:val="0"/>
          <w:numId w:val="4"/>
        </w:numPr>
        <w:jc w:val="both"/>
        <w:rPr>
          <w:rFonts w:ascii="Times New Roman" w:hAnsi="Times New Roman"/>
          <w:bCs/>
          <w:sz w:val="24"/>
          <w:szCs w:val="24"/>
        </w:rPr>
      </w:pPr>
      <w:r w:rsidRPr="00BA2F1E">
        <w:rPr>
          <w:rFonts w:ascii="Times New Roman" w:hAnsi="Times New Roman"/>
          <w:b/>
          <w:sz w:val="24"/>
          <w:szCs w:val="24"/>
        </w:rPr>
        <w:lastRenderedPageBreak/>
        <w:t>Karşı Taraf Riski:</w:t>
      </w:r>
      <w:r w:rsidRPr="00BA2F1E">
        <w:rPr>
          <w:rFonts w:ascii="Times New Roman" w:hAnsi="Times New Roman"/>
          <w:sz w:val="24"/>
          <w:szCs w:val="24"/>
        </w:rPr>
        <w:t xml:space="preserve"> Karşı tarafın sözleşmeden kaynaklanan yükümlülüklerini yerine getirmek istememesi ve/veya yerine getirememesi veya takas işlemlerinde ortaya çıkan aksaklıklar sonucunda ödemenin yapılamaması riskini ifade etmektedir. </w:t>
      </w:r>
    </w:p>
    <w:p w14:paraId="52C1D9D2" w14:textId="77777777" w:rsidR="00BA2F1E" w:rsidRPr="00BA2F1E" w:rsidRDefault="00BA2F1E" w:rsidP="00BA2F1E">
      <w:pPr>
        <w:pStyle w:val="ListeParagraf"/>
        <w:jc w:val="both"/>
        <w:rPr>
          <w:rFonts w:ascii="Times New Roman" w:hAnsi="Times New Roman"/>
          <w:bCs/>
          <w:sz w:val="24"/>
          <w:szCs w:val="24"/>
        </w:rPr>
      </w:pPr>
    </w:p>
    <w:p w14:paraId="37D48CE4" w14:textId="71CE2DB8"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Likidite Riski:</w:t>
      </w:r>
      <w:r w:rsidRPr="00BA2F1E">
        <w:rPr>
          <w:rFonts w:ascii="Times New Roman" w:hAnsi="Times New Roman"/>
          <w:sz w:val="24"/>
          <w:szCs w:val="24"/>
        </w:rPr>
        <w:t xml:space="preserve"> Fon portföyünde bulunan finansal varlıkların istenildiği anda piyasa fiyatından nakde dönüştürülememesi halinde ortaya çıkan zarar olasılığıdır.</w:t>
      </w:r>
    </w:p>
    <w:p w14:paraId="22680950" w14:textId="77777777" w:rsidR="00BA2F1E" w:rsidRPr="00BA2F1E" w:rsidRDefault="00BA2F1E" w:rsidP="00BA2F1E">
      <w:pPr>
        <w:pStyle w:val="ListeParagraf"/>
        <w:rPr>
          <w:rFonts w:ascii="Times New Roman" w:hAnsi="Times New Roman"/>
          <w:sz w:val="24"/>
          <w:szCs w:val="24"/>
        </w:rPr>
      </w:pPr>
    </w:p>
    <w:p w14:paraId="702DE8E8" w14:textId="6146C229"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 xml:space="preserve">Kaldıraç Yaratan İşlem Riski: </w:t>
      </w:r>
      <w:r w:rsidRPr="00BA2F1E">
        <w:rPr>
          <w:rFonts w:ascii="Times New Roman" w:hAnsi="Times New Roman"/>
          <w:sz w:val="24"/>
          <w:szCs w:val="24"/>
        </w:rPr>
        <w:t>Fon portföyüne türev araç (vadeli işlem ve opsiyon sözleşmeleri), saklı türev araç, swap sözleşmesi, varant, sertifika dahil edilmesi, ileri valörlü tahvil/bono ve altın alım işlemlerinde ve diğer herhangi bir yöntemle kaldıraç yaratan benzeri işlemlerde bulunulması halinde, başlangıç yatırımı ile başlangıç yatırımının üzerinde pozisyon alınması sebebi ile fonun başlangıç yatırımından daha yüksek zarar kaydedebilme olasılığı kaldıraç riskini ifade eder.</w:t>
      </w:r>
    </w:p>
    <w:p w14:paraId="1E6357C8" w14:textId="77777777" w:rsidR="00BA2F1E" w:rsidRPr="00BA2F1E" w:rsidRDefault="00BA2F1E" w:rsidP="00BA2F1E">
      <w:pPr>
        <w:pStyle w:val="ListeParagraf"/>
        <w:rPr>
          <w:rFonts w:ascii="Times New Roman" w:hAnsi="Times New Roman"/>
          <w:sz w:val="24"/>
          <w:szCs w:val="24"/>
        </w:rPr>
      </w:pPr>
    </w:p>
    <w:p w14:paraId="2C4D0392" w14:textId="0FB60DCC"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Operasyonel Risk</w:t>
      </w:r>
      <w:r w:rsidRPr="00BA2F1E">
        <w:rPr>
          <w:rFonts w:ascii="Times New Roman" w:hAnsi="Times New Roman"/>
          <w:sz w:val="24"/>
          <w:szCs w:val="24"/>
        </w:rPr>
        <w:t>: Operasyonel risk, fonun operasyonel süreçlerindeki aksamalar sonucunda zarar oluşması olasılığını ifade eder. Operasyonel riskin kaynakları arasında kullanılan sistemlerin yetersizliği, başarısız yönetim, personelin hatalı ya da hileli işlemleri gibi kurum içi etkenlerin yanı sıra doğal afetler, rekabet koşulları, politik rejim değişikliği gibi kurum dışı etkenler de olabilir.</w:t>
      </w:r>
    </w:p>
    <w:p w14:paraId="5982710E" w14:textId="77777777" w:rsidR="00BA2F1E" w:rsidRPr="00BA2F1E" w:rsidRDefault="00BA2F1E" w:rsidP="00BA2F1E">
      <w:pPr>
        <w:pStyle w:val="ListeParagraf"/>
        <w:rPr>
          <w:rFonts w:ascii="Times New Roman" w:hAnsi="Times New Roman"/>
          <w:sz w:val="24"/>
          <w:szCs w:val="24"/>
        </w:rPr>
      </w:pPr>
    </w:p>
    <w:p w14:paraId="218EB21C" w14:textId="511F05C4"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Yoğunlaşma Riski:</w:t>
      </w:r>
      <w:r w:rsidRPr="00BA2F1E">
        <w:rPr>
          <w:rFonts w:ascii="Times New Roman" w:hAnsi="Times New Roman"/>
          <w:sz w:val="24"/>
          <w:szCs w:val="24"/>
        </w:rPr>
        <w:t xml:space="preserve"> Belli bir varlığa ve/veya vadeye yoğun yatırım yapılması sonucu fonun bu varlığın ve vadenin içerdiği risklere maruz kalmasıdır.</w:t>
      </w:r>
    </w:p>
    <w:p w14:paraId="11E9CE08" w14:textId="77777777" w:rsidR="00BA2F1E" w:rsidRPr="00BA2F1E" w:rsidRDefault="00BA2F1E" w:rsidP="00BA2F1E">
      <w:pPr>
        <w:pStyle w:val="ListeParagraf"/>
        <w:rPr>
          <w:rFonts w:ascii="Times New Roman" w:hAnsi="Times New Roman"/>
          <w:sz w:val="24"/>
          <w:szCs w:val="24"/>
        </w:rPr>
      </w:pPr>
    </w:p>
    <w:p w14:paraId="7A53AD3E" w14:textId="35BE3063"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Korelasyon Riski:</w:t>
      </w:r>
      <w:r w:rsidRPr="00BA2F1E">
        <w:rPr>
          <w:rFonts w:ascii="Times New Roman" w:hAnsi="Times New Roman"/>
          <w:sz w:val="24"/>
          <w:szCs w:val="24"/>
        </w:rPr>
        <w:t xml:space="preserve"> Farklı finansal varlıkların piyasa koşulları altında belirli bir zaman dilimi içerisinde aynı anda değer kazanması ya da kaybetmesine paralel olarak, en az iki farklı finansal varlığın birbirleri ile olan pozitif veya negatif yönlü ilişkileri nedeniyle doğabilecek zarar ihtimalini ifade eder.</w:t>
      </w:r>
    </w:p>
    <w:p w14:paraId="7D11A6D5" w14:textId="77777777" w:rsidR="00BA2F1E" w:rsidRPr="00BA2F1E" w:rsidRDefault="00BA2F1E" w:rsidP="00BA2F1E">
      <w:pPr>
        <w:pStyle w:val="ListeParagraf"/>
        <w:rPr>
          <w:rFonts w:ascii="Times New Roman" w:hAnsi="Times New Roman"/>
          <w:sz w:val="24"/>
          <w:szCs w:val="24"/>
        </w:rPr>
      </w:pPr>
    </w:p>
    <w:p w14:paraId="772A11E4" w14:textId="3B336523"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Yasal Risk:</w:t>
      </w:r>
      <w:r w:rsidRPr="00BA2F1E">
        <w:rPr>
          <w:rFonts w:ascii="Times New Roman" w:hAnsi="Times New Roman"/>
          <w:sz w:val="24"/>
          <w:szCs w:val="24"/>
        </w:rPr>
        <w:t xml:space="preserve"> Fonun katılma paylarının satıldığı dönemden sonra mevzuatta ve düzenleyici otoritelerin düzenlemelerinde meydana gelebilecek değişiklerden olumsuz etkilenmesi riskidir.</w:t>
      </w:r>
    </w:p>
    <w:p w14:paraId="692A3301" w14:textId="77777777" w:rsidR="00BA2F1E" w:rsidRPr="00BA2F1E" w:rsidRDefault="00BA2F1E" w:rsidP="00BA2F1E">
      <w:pPr>
        <w:pStyle w:val="ListeParagraf"/>
        <w:rPr>
          <w:rFonts w:ascii="Times New Roman" w:hAnsi="Times New Roman"/>
          <w:sz w:val="24"/>
          <w:szCs w:val="24"/>
        </w:rPr>
      </w:pPr>
    </w:p>
    <w:p w14:paraId="23FD4719" w14:textId="73CB6C3E"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 xml:space="preserve">İhraççı Riski: </w:t>
      </w:r>
      <w:r w:rsidRPr="00BA2F1E">
        <w:rPr>
          <w:rFonts w:ascii="Times New Roman" w:hAnsi="Times New Roman"/>
          <w:sz w:val="24"/>
          <w:szCs w:val="24"/>
        </w:rPr>
        <w:t>Fon portföyüne alınan varlıkların</w:t>
      </w:r>
      <w:r w:rsidRPr="00BA2F1E">
        <w:rPr>
          <w:rFonts w:ascii="Times New Roman" w:hAnsi="Times New Roman"/>
          <w:b/>
          <w:sz w:val="24"/>
          <w:szCs w:val="24"/>
        </w:rPr>
        <w:t xml:space="preserve"> </w:t>
      </w:r>
      <w:r w:rsidRPr="00BA2F1E">
        <w:rPr>
          <w:rFonts w:ascii="Times New Roman" w:hAnsi="Times New Roman"/>
          <w:sz w:val="24"/>
          <w:szCs w:val="24"/>
        </w:rPr>
        <w:t>ihraççısının yükümlülüklerini kısmen veya tamamen zamanında yerine getirememesi nedeniyle doğabilecek zarar ihtimalini ifade eder.</w:t>
      </w:r>
    </w:p>
    <w:p w14:paraId="6A5051C0" w14:textId="77777777" w:rsidR="00BA2F1E" w:rsidRPr="00BA2F1E" w:rsidRDefault="00BA2F1E" w:rsidP="00BA2F1E">
      <w:pPr>
        <w:pStyle w:val="ListeParagraf"/>
        <w:rPr>
          <w:rFonts w:ascii="Times New Roman" w:hAnsi="Times New Roman"/>
          <w:sz w:val="24"/>
          <w:szCs w:val="24"/>
        </w:rPr>
      </w:pPr>
    </w:p>
    <w:p w14:paraId="469D59E1" w14:textId="3E15F0CF"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 xml:space="preserve">Teminat Riski: </w:t>
      </w:r>
      <w:r w:rsidRPr="00BA2F1E">
        <w:rPr>
          <w:rFonts w:ascii="Times New Roman" w:hAnsi="Times New Roman"/>
          <w:sz w:val="24"/>
          <w:szCs w:val="24"/>
        </w:rPr>
        <w:t>Türev araçlar üzerinden alınan bir pozisyonun güvencesi olarak alınan teminatın, zorunlu haller sebebiyle likide edilmesi halinde piyasaya göre değerleme değerinin beklenen türev pozisyon değerini karşılamaması riskidir.</w:t>
      </w:r>
    </w:p>
    <w:p w14:paraId="7D53F1E1" w14:textId="77777777" w:rsidR="00BA2F1E" w:rsidRPr="00BA2F1E" w:rsidRDefault="00BA2F1E" w:rsidP="00BA2F1E">
      <w:pPr>
        <w:pStyle w:val="ListeParagraf"/>
        <w:rPr>
          <w:rFonts w:ascii="Times New Roman" w:hAnsi="Times New Roman"/>
          <w:sz w:val="24"/>
          <w:szCs w:val="24"/>
        </w:rPr>
      </w:pPr>
    </w:p>
    <w:p w14:paraId="1D8DF7BD" w14:textId="723B924C"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Baz Riski:</w:t>
      </w:r>
      <w:r w:rsidRPr="00BA2F1E">
        <w:rPr>
          <w:rFonts w:ascii="Times New Roman" w:hAnsi="Times New Roman"/>
          <w:sz w:val="24"/>
          <w:szCs w:val="24"/>
        </w:rPr>
        <w:t xml:space="preserve"> Vadeli işlem kontratlarının cari değeri ile sözleşme konusu finansal enstrümanın spot fiyatının aldığı değer arasındaki fiyat farklılığı değişimini ifade etmektedir. Sözleşmede belirlenen vade sonunda vadeli fiyat ile spot fiyat birbirine </w:t>
      </w:r>
      <w:r w:rsidRPr="00BA2F1E">
        <w:rPr>
          <w:rFonts w:ascii="Times New Roman" w:hAnsi="Times New Roman"/>
          <w:sz w:val="24"/>
          <w:szCs w:val="24"/>
        </w:rPr>
        <w:lastRenderedPageBreak/>
        <w:t>eşit olmaktadır. Ancak fon portföyü içerisinde yer alan ilgili vadeli finansal enstrümanlarda işlem yapılan tarih ile vade sonu arasında geçen zaman içerisinde vadeli fiyat ile spot fiyat teorik fiyatlamadan farklı olmaktadır. Dolayısı ile burada baz değerin sözleşme vadesi boyunca göstereceği riski ifade etmektedir.</w:t>
      </w:r>
    </w:p>
    <w:p w14:paraId="2A8EBECB" w14:textId="77777777" w:rsidR="00BA2F1E" w:rsidRPr="00BA2F1E" w:rsidRDefault="00BA2F1E" w:rsidP="00BA2F1E">
      <w:pPr>
        <w:pStyle w:val="ListeParagraf"/>
        <w:rPr>
          <w:rFonts w:ascii="Times New Roman" w:hAnsi="Times New Roman"/>
          <w:sz w:val="24"/>
          <w:szCs w:val="24"/>
        </w:rPr>
      </w:pPr>
    </w:p>
    <w:p w14:paraId="6A65CFD2" w14:textId="566C8EB9" w:rsidR="00BA2F1E" w:rsidRP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Opsiyon Duyarlılık Riskleri:</w:t>
      </w:r>
      <w:r w:rsidRPr="00BA2F1E">
        <w:rPr>
          <w:rFonts w:ascii="Times New Roman" w:hAnsi="Times New Roman"/>
          <w:sz w:val="24"/>
          <w:szCs w:val="24"/>
        </w:rPr>
        <w:t xml:space="preserve"> Opsiyon portföylerinde risk duyarlıkları arasında, işleme konu olan spot finansal ürün fiyat değişiminde çok farklı miktarda risk duyarlılık değişimleri yaşanabilmektedir.</w:t>
      </w:r>
    </w:p>
    <w:p w14:paraId="5EE2940A" w14:textId="750DB0B8" w:rsidR="00BA2F1E" w:rsidRPr="00BA2F1E" w:rsidRDefault="00BA2F1E" w:rsidP="00BA2F1E">
      <w:pPr>
        <w:pStyle w:val="ListeParagraf"/>
        <w:numPr>
          <w:ilvl w:val="0"/>
          <w:numId w:val="8"/>
        </w:numPr>
        <w:jc w:val="both"/>
        <w:rPr>
          <w:rFonts w:ascii="Times New Roman" w:hAnsi="Times New Roman"/>
          <w:sz w:val="24"/>
          <w:szCs w:val="24"/>
        </w:rPr>
      </w:pPr>
      <w:r w:rsidRPr="00BA2F1E">
        <w:rPr>
          <w:rFonts w:ascii="Times New Roman" w:hAnsi="Times New Roman"/>
          <w:sz w:val="24"/>
          <w:szCs w:val="24"/>
        </w:rPr>
        <w:t>Delta; opsiyonun yazıldığı ilgili finansal varlığın fiyatındaki bir birim değişmenin opsiyon priminde oluşturduğu değişimi göstermektedir.</w:t>
      </w:r>
    </w:p>
    <w:p w14:paraId="35561AED" w14:textId="527547DC" w:rsidR="00BA2F1E" w:rsidRPr="00BA2F1E" w:rsidRDefault="00BA2F1E" w:rsidP="00BA2F1E">
      <w:pPr>
        <w:pStyle w:val="ListeParagraf"/>
        <w:numPr>
          <w:ilvl w:val="0"/>
          <w:numId w:val="8"/>
        </w:numPr>
        <w:jc w:val="both"/>
        <w:rPr>
          <w:rFonts w:ascii="Times New Roman" w:hAnsi="Times New Roman"/>
          <w:sz w:val="24"/>
          <w:szCs w:val="24"/>
        </w:rPr>
      </w:pPr>
      <w:r w:rsidRPr="00BA2F1E">
        <w:rPr>
          <w:rFonts w:ascii="Times New Roman" w:hAnsi="Times New Roman"/>
          <w:sz w:val="24"/>
          <w:szCs w:val="24"/>
        </w:rPr>
        <w:t>Gamma; Opsiyonun ilgili olduğu varlığın fiyatındaki değişimin opsiyonun deltasında meydana getirdiği değişimi ölçmektedir.</w:t>
      </w:r>
    </w:p>
    <w:p w14:paraId="4353C107" w14:textId="15FB4381" w:rsidR="00BA2F1E" w:rsidRPr="00BA2F1E" w:rsidRDefault="00BA2F1E" w:rsidP="00BA2F1E">
      <w:pPr>
        <w:pStyle w:val="ListeParagraf"/>
        <w:numPr>
          <w:ilvl w:val="0"/>
          <w:numId w:val="8"/>
        </w:numPr>
        <w:jc w:val="both"/>
        <w:rPr>
          <w:rFonts w:ascii="Times New Roman" w:hAnsi="Times New Roman"/>
          <w:sz w:val="24"/>
          <w:szCs w:val="24"/>
        </w:rPr>
      </w:pPr>
      <w:r w:rsidRPr="00BA2F1E">
        <w:rPr>
          <w:rFonts w:ascii="Times New Roman" w:hAnsi="Times New Roman"/>
          <w:sz w:val="24"/>
          <w:szCs w:val="24"/>
        </w:rPr>
        <w:t>Theta; Risk ölçümlerinde büyük önem taşıyan zaman faktörünü ifade eden gösterge olup, opsiyon fiyatının vadeye göre değişiminin ölçüsüdür.</w:t>
      </w:r>
    </w:p>
    <w:p w14:paraId="7F20F597" w14:textId="77D09115" w:rsidR="00BA2F1E" w:rsidRPr="00BA2F1E" w:rsidRDefault="00BA2F1E" w:rsidP="00BA2F1E">
      <w:pPr>
        <w:pStyle w:val="ListeParagraf"/>
        <w:numPr>
          <w:ilvl w:val="0"/>
          <w:numId w:val="8"/>
        </w:numPr>
        <w:jc w:val="both"/>
        <w:rPr>
          <w:rFonts w:ascii="Times New Roman" w:hAnsi="Times New Roman"/>
          <w:sz w:val="24"/>
          <w:szCs w:val="24"/>
        </w:rPr>
      </w:pPr>
      <w:r w:rsidRPr="00BA2F1E">
        <w:rPr>
          <w:rFonts w:ascii="Times New Roman" w:hAnsi="Times New Roman"/>
          <w:sz w:val="24"/>
          <w:szCs w:val="24"/>
        </w:rPr>
        <w:t>Rho; Faiz oranlarındaki yüzdesel değişimin opsiyonun fiyatında oluşturduğu değişimin ölçüsüdür.</w:t>
      </w:r>
    </w:p>
    <w:p w14:paraId="2E7AB012" w14:textId="7D59F46C" w:rsidR="00BA2F1E" w:rsidRDefault="00BA2F1E" w:rsidP="00BA2F1E">
      <w:pPr>
        <w:pStyle w:val="ListeParagraf"/>
        <w:numPr>
          <w:ilvl w:val="0"/>
          <w:numId w:val="8"/>
        </w:numPr>
        <w:jc w:val="both"/>
        <w:rPr>
          <w:rFonts w:ascii="Times New Roman" w:hAnsi="Times New Roman"/>
          <w:sz w:val="24"/>
          <w:szCs w:val="24"/>
        </w:rPr>
      </w:pPr>
      <w:r w:rsidRPr="00BA2F1E">
        <w:rPr>
          <w:rFonts w:ascii="Times New Roman" w:hAnsi="Times New Roman"/>
          <w:sz w:val="24"/>
          <w:szCs w:val="24"/>
        </w:rPr>
        <w:t>Vega; Opsiyonun dayandığı varlığın fiyat dalgalanırlığındaki birim değişimin opsiyon priminde oluşturduğu değişimdir.</w:t>
      </w:r>
    </w:p>
    <w:p w14:paraId="7F02C2CD" w14:textId="77777777" w:rsidR="00BA2F1E" w:rsidRPr="00BA2F1E" w:rsidRDefault="00BA2F1E" w:rsidP="00BA2F1E">
      <w:pPr>
        <w:pStyle w:val="ListeParagraf"/>
        <w:jc w:val="both"/>
        <w:rPr>
          <w:rFonts w:ascii="Times New Roman" w:hAnsi="Times New Roman"/>
          <w:sz w:val="24"/>
          <w:szCs w:val="24"/>
        </w:rPr>
      </w:pPr>
    </w:p>
    <w:p w14:paraId="33C17317" w14:textId="6AC48D1C"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Yapılandırılmış Yatırım/Borçlanma Araçları Riskleri:</w:t>
      </w:r>
      <w:r w:rsidRPr="00BA2F1E">
        <w:rPr>
          <w:rFonts w:ascii="Times New Roman" w:hAnsi="Times New Roman"/>
          <w:sz w:val="24"/>
          <w:szCs w:val="24"/>
        </w:rPr>
        <w:t xml:space="preserve"> Yapılandırılmış yatırım /borçlanma araçlarının değeri ve dönem sonu getirisi faiz ödemesinin yanında dayanak varlığın piyasa performansına bağlıdır. Yapılandırılmış yatırım/borçlanma araçlarının dayanak varlıkları üzerine oluşturulan stratejilerin getirisinin ilgili dönemde negatif olması halinde, yatırımcı vade sonunda hiçbir itfa geliri elde edemeyeceği gibi, performansla orantılı olarak vade sonunda elde edilen itfa tutarı nominal değerden daha düşük de olabilir.</w:t>
      </w:r>
    </w:p>
    <w:p w14:paraId="1F68F6F3" w14:textId="10D56A5C" w:rsidR="00BA2F1E" w:rsidRPr="00BA2F1E" w:rsidRDefault="00BA2F1E" w:rsidP="00D42D4B">
      <w:pPr>
        <w:ind w:left="708" w:firstLine="426"/>
        <w:jc w:val="both"/>
        <w:rPr>
          <w:rFonts w:ascii="Times New Roman" w:hAnsi="Times New Roman"/>
          <w:sz w:val="24"/>
          <w:szCs w:val="24"/>
        </w:rPr>
      </w:pPr>
      <w:r w:rsidRPr="00BA2F1E">
        <w:rPr>
          <w:rFonts w:ascii="Times New Roman" w:hAnsi="Times New Roman"/>
          <w:sz w:val="24"/>
          <w:szCs w:val="24"/>
        </w:rPr>
        <w:t>Bununla birlikte, Yapılandırılmış yatırım/borçlanma araçlarının günlük fiyat oluşumunda piyasa faizlerinde yaşanabilecek değişimler ve dayanak varlık fiyat değişimleri de etkili olabilmektedir. Piyasa faizlerinde ve dayanak varlık fiyatında yaşanabilecek dalgalanmalar Yapılandırılmış Yatırım/Borçlanma Araçlarının günlük değerlemesini etkileyebilmektedir. Fonun Riske Maruz Değer (RMD) hesaplamalarında türev araçlarla birlikte Yapılandırılmış yatırım/borçlanma araçlarından kaynaklanan piyasa riskleri de dikkate alınır.</w:t>
      </w:r>
    </w:p>
    <w:p w14:paraId="18D68798" w14:textId="2463F9EE" w:rsidR="00BA2F1E" w:rsidRPr="00BA2F1E" w:rsidRDefault="00BA2F1E" w:rsidP="00D42D4B">
      <w:pPr>
        <w:ind w:left="708" w:firstLine="426"/>
        <w:jc w:val="both"/>
        <w:rPr>
          <w:rFonts w:ascii="Times New Roman" w:hAnsi="Times New Roman"/>
          <w:sz w:val="24"/>
          <w:szCs w:val="24"/>
        </w:rPr>
      </w:pPr>
      <w:r w:rsidRPr="00BA2F1E">
        <w:rPr>
          <w:rFonts w:ascii="Times New Roman" w:hAnsi="Times New Roman"/>
          <w:sz w:val="24"/>
          <w:szCs w:val="24"/>
        </w:rPr>
        <w:t>Yapılandırılmış yatırım/borçlanma araçları yatırımı yapılması halinde karşı taraf riski de mevcuttur. Karşı taraf riski, ihraççı kurumun Yapılandırılmış yatırım/borçlanma aracından kaynaklanan yükümlülüklerini yerine getirememe riskini ifade eder. Karşı taraf riskini minimum seviyede tutabilmek adına, Yapılandırılmış yatırım/borçlanma araçları yatırımlarında ihraççının ve/veya varsa yatırım aracının Fon Tebliği’nin 32’nci maddesinde belirtilen derecelendirme notuna sahip olması koşulu aranır.</w:t>
      </w:r>
    </w:p>
    <w:p w14:paraId="791C9859" w14:textId="5F77CC08"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lastRenderedPageBreak/>
        <w:t>Açığa Satış Riski:</w:t>
      </w:r>
      <w:r w:rsidRPr="00BA2F1E">
        <w:rPr>
          <w:rFonts w:ascii="Times New Roman" w:hAnsi="Times New Roman"/>
          <w:sz w:val="24"/>
          <w:szCs w:val="24"/>
        </w:rPr>
        <w:t xml:space="preserve"> Fon Portföyü içerisinden açığa satım yapılacak olan ilgili finansal enstrümanlarda piyasa likiditesinin daralması dolayısı ile ödünç karşılığı ve/veya doğrudan açığa satım imkanlarının azalması durumunu ifade etmektedir.</w:t>
      </w:r>
    </w:p>
    <w:p w14:paraId="2069310B" w14:textId="77777777" w:rsidR="00BA2F1E" w:rsidRPr="00BA2F1E" w:rsidRDefault="00BA2F1E" w:rsidP="00BA2F1E">
      <w:pPr>
        <w:pStyle w:val="ListeParagraf"/>
        <w:rPr>
          <w:rFonts w:ascii="Times New Roman" w:hAnsi="Times New Roman"/>
          <w:sz w:val="24"/>
          <w:szCs w:val="24"/>
        </w:rPr>
      </w:pPr>
    </w:p>
    <w:p w14:paraId="590D8F22" w14:textId="1D61F7B7"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İşlemin Sonuçlandırılamaması Riski:</w:t>
      </w:r>
      <w:r w:rsidRPr="00BA2F1E">
        <w:rPr>
          <w:rFonts w:ascii="Times New Roman" w:hAnsi="Times New Roman"/>
          <w:sz w:val="24"/>
          <w:szCs w:val="24"/>
        </w:rPr>
        <w:t xml:space="preserve"> Olağanüstü koşullar nedeniyle ödeme ve takas sistemlerindeki bozulmanın, durmanın, çökmenin yarattığı risktir.</w:t>
      </w:r>
    </w:p>
    <w:p w14:paraId="1CCFAD3A" w14:textId="77777777" w:rsidR="00BA2F1E" w:rsidRPr="00BA2F1E" w:rsidRDefault="00BA2F1E" w:rsidP="00BA2F1E">
      <w:pPr>
        <w:pStyle w:val="ListeParagraf"/>
        <w:rPr>
          <w:rFonts w:ascii="Times New Roman" w:hAnsi="Times New Roman"/>
          <w:sz w:val="24"/>
          <w:szCs w:val="24"/>
        </w:rPr>
      </w:pPr>
    </w:p>
    <w:p w14:paraId="7838EE7B" w14:textId="2DF9FE82"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Etik Risk:</w:t>
      </w:r>
      <w:r w:rsidRPr="00BA2F1E">
        <w:rPr>
          <w:rFonts w:ascii="Times New Roman" w:hAnsi="Times New Roman"/>
          <w:sz w:val="24"/>
          <w:szCs w:val="24"/>
        </w:rPr>
        <w:t xml:space="preserve"> Dolandırıcılık, suistimal, zimmete para geçirme, hırsızlık gibi nedenler ile Fon’u zarara uğratabilecek kasıtlı eylemler ya da Kurucu’nun itibarını olumsuz etkileyecek suçların (örneğin, kara para aklanması) işlenmesi riskidir.</w:t>
      </w:r>
    </w:p>
    <w:p w14:paraId="6BE4C7BF" w14:textId="77777777" w:rsidR="00BA2F1E" w:rsidRPr="00BA2F1E" w:rsidRDefault="00BA2F1E" w:rsidP="00BA2F1E">
      <w:pPr>
        <w:pStyle w:val="ListeParagraf"/>
        <w:rPr>
          <w:rFonts w:ascii="Times New Roman" w:hAnsi="Times New Roman"/>
          <w:sz w:val="24"/>
          <w:szCs w:val="24"/>
        </w:rPr>
      </w:pPr>
    </w:p>
    <w:p w14:paraId="3B21CA70" w14:textId="7FC75C08"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Veri Güvenilirliği Riski</w:t>
      </w:r>
      <w:r w:rsidRPr="00BA2F1E">
        <w:rPr>
          <w:rFonts w:ascii="Times New Roman" w:hAnsi="Times New Roman"/>
          <w:sz w:val="24"/>
          <w:szCs w:val="24"/>
        </w:rPr>
        <w:t>: Finansal veya finansal olmayan işlemlerin kayıtlara alınması veya raporlanmasında yanlışlık ve eksiklikler bulunması, zamanlamasında gecikmeler oluşmasından kaynaklanan risktir.</w:t>
      </w:r>
    </w:p>
    <w:p w14:paraId="30531186" w14:textId="77777777" w:rsidR="00BA2F1E" w:rsidRPr="00BA2F1E" w:rsidRDefault="00BA2F1E" w:rsidP="00BA2F1E">
      <w:pPr>
        <w:pStyle w:val="ListeParagraf"/>
        <w:rPr>
          <w:rFonts w:ascii="Times New Roman" w:hAnsi="Times New Roman"/>
          <w:sz w:val="24"/>
          <w:szCs w:val="24"/>
        </w:rPr>
      </w:pPr>
    </w:p>
    <w:p w14:paraId="1A5FF7F1" w14:textId="7F3C8B5D" w:rsid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 xml:space="preserve">Kıymetli Maden ve Emtia Fiyat Riski: </w:t>
      </w:r>
      <w:r w:rsidRPr="00BA2F1E">
        <w:rPr>
          <w:rFonts w:ascii="Times New Roman" w:hAnsi="Times New Roman"/>
          <w:sz w:val="24"/>
          <w:szCs w:val="24"/>
        </w:rPr>
        <w:t>Fon portföyüne kıymetli madenler ve kıymetli maden veya emtiaya dayalı sermaye piyasası aracı dahil edilmesi halinde, kıymetli madenlerin veya emtiaların fiyatlarında meydana gelebilecek değişiklikler nedeniyle portföyün maruz kalacağı zarar olasılığını ifade etmektedir.</w:t>
      </w:r>
    </w:p>
    <w:p w14:paraId="3F0E6612" w14:textId="77777777" w:rsidR="00BA2F1E" w:rsidRPr="00BA2F1E" w:rsidRDefault="00BA2F1E" w:rsidP="00BA2F1E">
      <w:pPr>
        <w:pStyle w:val="ListeParagraf"/>
        <w:rPr>
          <w:rFonts w:ascii="Times New Roman" w:hAnsi="Times New Roman"/>
          <w:sz w:val="24"/>
          <w:szCs w:val="24"/>
        </w:rPr>
      </w:pPr>
    </w:p>
    <w:p w14:paraId="6EB79670" w14:textId="589D9710" w:rsidR="00BA2F1E" w:rsidRPr="00BA2F1E" w:rsidRDefault="00BA2F1E" w:rsidP="00BA2F1E">
      <w:pPr>
        <w:pStyle w:val="ListeParagraf"/>
        <w:numPr>
          <w:ilvl w:val="0"/>
          <w:numId w:val="4"/>
        </w:numPr>
        <w:jc w:val="both"/>
        <w:rPr>
          <w:rFonts w:ascii="Times New Roman" w:hAnsi="Times New Roman"/>
          <w:sz w:val="24"/>
          <w:szCs w:val="24"/>
        </w:rPr>
      </w:pPr>
      <w:r w:rsidRPr="00BA2F1E">
        <w:rPr>
          <w:rFonts w:ascii="Times New Roman" w:hAnsi="Times New Roman"/>
          <w:b/>
          <w:sz w:val="24"/>
          <w:szCs w:val="24"/>
        </w:rPr>
        <w:t>Diğer Riskler:</w:t>
      </w:r>
      <w:r w:rsidRPr="00BA2F1E">
        <w:rPr>
          <w:rFonts w:ascii="Times New Roman" w:hAnsi="Times New Roman"/>
          <w:sz w:val="24"/>
          <w:szCs w:val="24"/>
        </w:rPr>
        <w:t xml:space="preserve"> Fon’a yatırım yapan yatırımcılar piyasalarda yaşanan dalgalanmalar, piyasa koşulları ve mevzuat değişikliklerine uyum sebebiyle para kaybedebilirler. Fon’un portföyündeki varlıkların değeri olumlu ve/veya olumsuz yönde değişim gösterebilir. Yatırım yapılan tüm menkul kıymetler ve türev araç yatırımları sermaye kaybı riski taşır. Kaldıraçlı işlemler risklerin önemli ölçüde artmasına neden olabilir. Fon tarafından öngörülen çeşitli menkul kıymetlere ve diğer araçlara yatırım yapılması önemli ekonomik riskler içerir. Fon yatırım programının söz konusu yatırımı elinde bulundurmanın taşıdığı zarar riskine karşı koruma sağlaması beklense de bu stratejilerin bu riske karşı tam koruma sağlayacağı ya da Fonun hedeflenen kazanca ulaşılacağı konusunda hiçbir güvence söz konusu değildir.</w:t>
      </w:r>
    </w:p>
    <w:p w14:paraId="2D3D9A41" w14:textId="77777777" w:rsidR="001B1C6E" w:rsidRPr="00CD7184" w:rsidRDefault="001B1C6E" w:rsidP="001B1C6E">
      <w:pPr>
        <w:pStyle w:val="ListeParagraf"/>
        <w:spacing w:after="0"/>
        <w:jc w:val="both"/>
        <w:rPr>
          <w:rFonts w:ascii="Times New Roman" w:hAnsi="Times New Roman" w:cs="Times New Roman"/>
          <w:sz w:val="24"/>
          <w:szCs w:val="24"/>
        </w:rPr>
      </w:pPr>
    </w:p>
    <w:sectPr w:rsidR="001B1C6E" w:rsidRPr="00CD7184" w:rsidSect="008A60CB">
      <w:headerReference w:type="default" r:id="rId16"/>
      <w:headerReference w:type="first" r:id="rId17"/>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SUS" w:date="2024-07-15T19:52:00Z" w:initials="A">
    <w:p w14:paraId="5B38815F" w14:textId="3C8C1483" w:rsidR="001D2026" w:rsidRDefault="001D2026">
      <w:pPr>
        <w:pStyle w:val="AklamaMetni"/>
      </w:pPr>
      <w:r>
        <w:rPr>
          <w:rStyle w:val="AklamaBavurusu"/>
        </w:rPr>
        <w:annotationRef/>
      </w:r>
      <w:r w:rsidRPr="001D2026">
        <w:t>296</w:t>
      </w:r>
      <w:r>
        <w:t>.</w:t>
      </w:r>
      <w:r w:rsidRPr="001D2026">
        <w:t>006</w:t>
      </w:r>
      <w:r>
        <w:t>.</w:t>
      </w:r>
      <w:r w:rsidRPr="001D2026">
        <w:t>470,87</w:t>
      </w:r>
    </w:p>
  </w:comment>
  <w:comment w:id="1" w:author="Aslı ASLAN" w:date="2024-07-16T10:03:00Z" w:initials="AA">
    <w:p w14:paraId="586F61A0" w14:textId="77777777" w:rsidR="00F42634" w:rsidRDefault="00F42634" w:rsidP="00F42634">
      <w:pPr>
        <w:pStyle w:val="AklamaMetni"/>
      </w:pPr>
      <w:r>
        <w:rPr>
          <w:rStyle w:val="AklamaBavurusu"/>
        </w:rPr>
        <w:annotationRef/>
      </w:r>
      <w:r>
        <w:t>güncellendi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B38815F" w15:done="0"/>
  <w15:commentEx w15:paraId="586F61A0" w15:paraIdParent="5B3881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312ED5" w16cex:dateUtc="2024-07-16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B38815F" w16cid:durableId="28110225"/>
  <w16cid:commentId w16cid:paraId="586F61A0" w16cid:durableId="13312E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F4A4ED" w14:textId="77777777" w:rsidR="00EF5398" w:rsidRDefault="00EF5398" w:rsidP="00A05B08">
      <w:pPr>
        <w:spacing w:after="0" w:line="240" w:lineRule="auto"/>
      </w:pPr>
      <w:r>
        <w:separator/>
      </w:r>
    </w:p>
  </w:endnote>
  <w:endnote w:type="continuationSeparator" w:id="0">
    <w:p w14:paraId="694C9D4D" w14:textId="77777777" w:rsidR="00EF5398" w:rsidRDefault="00EF5398" w:rsidP="00A05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ansSerif">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A1413" w14:textId="77777777" w:rsidR="00EF5398" w:rsidRDefault="00EF5398" w:rsidP="00A05B08">
      <w:pPr>
        <w:spacing w:after="0" w:line="240" w:lineRule="auto"/>
      </w:pPr>
      <w:r>
        <w:separator/>
      </w:r>
    </w:p>
  </w:footnote>
  <w:footnote w:type="continuationSeparator" w:id="0">
    <w:p w14:paraId="245476DE" w14:textId="77777777" w:rsidR="00EF5398" w:rsidRDefault="00EF5398" w:rsidP="00A05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9797E" w14:textId="32186182" w:rsidR="00A05B08" w:rsidRPr="0041052D" w:rsidRDefault="002E0B89">
    <w:pPr>
      <w:pStyle w:val="stBilgi"/>
      <w:rPr>
        <w:rFonts w:ascii="Times New Roman" w:hAnsi="Times New Roman" w:cs="Times New Roman"/>
        <w:b/>
        <w:color w:val="1F3864" w:themeColor="accent5" w:themeShade="80"/>
        <w:sz w:val="24"/>
        <w:szCs w:val="24"/>
      </w:rPr>
    </w:pPr>
    <w:r w:rsidRPr="002E0B89">
      <w:rPr>
        <w:rFonts w:ascii="Times New Roman" w:hAnsi="Times New Roman" w:cs="Times New Roman"/>
        <w:b/>
        <w:color w:val="1F3864" w:themeColor="accent5" w:themeShade="80"/>
        <w:sz w:val="24"/>
        <w:szCs w:val="24"/>
      </w:rPr>
      <w:t xml:space="preserve">HEDEF PORTFÖY </w:t>
    </w:r>
    <w:r>
      <w:rPr>
        <w:rFonts w:ascii="Times New Roman" w:hAnsi="Times New Roman" w:cs="Times New Roman"/>
        <w:b/>
        <w:color w:val="1F3864" w:themeColor="accent5" w:themeShade="80"/>
        <w:sz w:val="24"/>
        <w:szCs w:val="24"/>
      </w:rPr>
      <w:t>MAVİ</w:t>
    </w:r>
    <w:r w:rsidRPr="002E0B89">
      <w:rPr>
        <w:rFonts w:ascii="Times New Roman" w:hAnsi="Times New Roman" w:cs="Times New Roman"/>
        <w:b/>
        <w:color w:val="1F3864" w:themeColor="accent5" w:themeShade="80"/>
        <w:sz w:val="24"/>
        <w:szCs w:val="24"/>
      </w:rPr>
      <w:t xml:space="preserve"> HİSSE SENEDİ SERBEST</w:t>
    </w:r>
    <w:r w:rsidR="0068499E">
      <w:rPr>
        <w:rFonts w:ascii="Times New Roman" w:hAnsi="Times New Roman" w:cs="Times New Roman"/>
        <w:b/>
        <w:color w:val="1F3864" w:themeColor="accent5" w:themeShade="80"/>
        <w:sz w:val="24"/>
        <w:szCs w:val="24"/>
      </w:rPr>
      <w:t>(TL)</w:t>
    </w:r>
    <w:r w:rsidRPr="002E0B89">
      <w:rPr>
        <w:rFonts w:ascii="Times New Roman" w:hAnsi="Times New Roman" w:cs="Times New Roman"/>
        <w:b/>
        <w:color w:val="1F3864" w:themeColor="accent5" w:themeShade="80"/>
        <w:sz w:val="24"/>
        <w:szCs w:val="24"/>
      </w:rPr>
      <w:t xml:space="preserve"> FON (HİSSE SENEDİ YOĞUN FON)</w:t>
    </w:r>
    <w:r>
      <w:rPr>
        <w:rFonts w:ascii="Times New Roman" w:hAnsi="Times New Roman" w:cs="Times New Roman"/>
        <w:b/>
        <w:color w:val="1F3864" w:themeColor="accent5" w:themeShade="80"/>
        <w:sz w:val="24"/>
        <w:szCs w:val="24"/>
      </w:rPr>
      <w:t xml:space="preserve"> </w:t>
    </w:r>
    <w:r w:rsidR="00A05B08" w:rsidRPr="0041052D">
      <w:rPr>
        <w:rFonts w:ascii="Times New Roman" w:hAnsi="Times New Roman" w:cs="Times New Roman"/>
        <w:b/>
        <w:color w:val="1F3864" w:themeColor="accent5" w:themeShade="80"/>
        <w:sz w:val="24"/>
        <w:szCs w:val="24"/>
      </w:rPr>
      <w:t>FON</w:t>
    </w:r>
    <w:r w:rsidR="009C7259">
      <w:rPr>
        <w:rFonts w:ascii="Times New Roman" w:hAnsi="Times New Roman" w:cs="Times New Roman"/>
        <w:b/>
        <w:color w:val="1F3864" w:themeColor="accent5" w:themeShade="80"/>
        <w:sz w:val="24"/>
        <w:szCs w:val="24"/>
      </w:rPr>
      <w:t xml:space="preserve"> PERFORMANS SUNUM</w:t>
    </w:r>
    <w:r w:rsidR="001B1348" w:rsidRPr="0041052D">
      <w:rPr>
        <w:rFonts w:ascii="Times New Roman" w:hAnsi="Times New Roman" w:cs="Times New Roman"/>
        <w:b/>
        <w:color w:val="1F3864" w:themeColor="accent5" w:themeShade="80"/>
        <w:sz w:val="24"/>
        <w:szCs w:val="24"/>
      </w:rPr>
      <w:t xml:space="preserve"> RAPORU</w:t>
    </w:r>
  </w:p>
  <w:p w14:paraId="5726AB97" w14:textId="77777777" w:rsidR="00A05B08" w:rsidRDefault="008A60CB">
    <w:pPr>
      <w:pStyle w:val="stBilgi"/>
    </w:pP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08ED7" w14:textId="77777777" w:rsidR="001D2026" w:rsidRDefault="001D2026" w:rsidP="001D2026">
    <w:pPr>
      <w:pStyle w:val="stBilgi"/>
      <w:tabs>
        <w:tab w:val="clear" w:pos="4536"/>
        <w:tab w:val="clear" w:pos="9072"/>
        <w:tab w:val="left" w:pos="8560"/>
      </w:tabs>
    </w:pPr>
    <w:r>
      <w:rPr>
        <w:noProof/>
        <w:lang w:eastAsia="tr-TR"/>
      </w:rPr>
      <mc:AlternateContent>
        <mc:Choice Requires="wps">
          <w:drawing>
            <wp:anchor distT="45720" distB="45720" distL="114300" distR="114300" simplePos="0" relativeHeight="251659264" behindDoc="0" locked="0" layoutInCell="1" allowOverlap="1" wp14:anchorId="7D748F37" wp14:editId="08CB0DD1">
              <wp:simplePos x="0" y="0"/>
              <wp:positionH relativeFrom="column">
                <wp:posOffset>3580765</wp:posOffset>
              </wp:positionH>
              <wp:positionV relativeFrom="paragraph">
                <wp:posOffset>-214630</wp:posOffset>
              </wp:positionV>
              <wp:extent cx="2235200" cy="1085850"/>
              <wp:effectExtent l="0" t="0" r="0" b="0"/>
              <wp:wrapSquare wrapText="bothSides"/>
              <wp:docPr id="4"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0" cy="1085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04100" w14:textId="77777777" w:rsidR="001D2026" w:rsidRPr="00447D36" w:rsidRDefault="001D2026" w:rsidP="001D20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654A74AA" w14:textId="77777777" w:rsidR="001D2026" w:rsidRPr="00447D36" w:rsidRDefault="001D2026" w:rsidP="001D20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746A8B86" w14:textId="77777777" w:rsidR="001D2026" w:rsidRPr="00447D36" w:rsidRDefault="001D2026" w:rsidP="001D20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367797DB" w14:textId="77777777" w:rsidR="001D2026" w:rsidRPr="00447D36" w:rsidRDefault="001D2026" w:rsidP="001D20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25096FEC" w14:textId="77777777" w:rsidR="001D2026" w:rsidRPr="0064371B" w:rsidRDefault="001D2026" w:rsidP="001D2026">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76176F85" w14:textId="77777777" w:rsidR="001D2026" w:rsidRDefault="001D2026" w:rsidP="001D2026">
                          <w:pPr>
                            <w:jc w:val="right"/>
                          </w:pPr>
                          <w:r w:rsidRPr="0064371B">
                            <w:rPr>
                              <w:rFonts w:ascii="Arial" w:hAnsi="Arial" w:cs="Arial"/>
                              <w:color w:val="5B9BD5" w:themeColor="accent1"/>
                              <w:sz w:val="16"/>
                              <w:szCs w:val="15"/>
                            </w:rPr>
                            <w:t>www.crowe.com.tr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748F37" id="_x0000_t202" coordsize="21600,21600" o:spt="202" path="m,l,21600r21600,l21600,xe">
              <v:stroke joinstyle="miter"/>
              <v:path gradientshapeok="t" o:connecttype="rect"/>
            </v:shapetype>
            <v:shape id="Metin Kutusu 2" o:spid="_x0000_s1026" type="#_x0000_t202" style="position:absolute;margin-left:281.95pt;margin-top:-16.9pt;width:176pt;height:8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" filled="f" stroked="f">
              <v:textbox>
                <w:txbxContent>
                  <w:p w14:paraId="3A804100" w14:textId="77777777" w:rsidR="001D2026" w:rsidRPr="00447D36" w:rsidRDefault="001D2026" w:rsidP="001D20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HSY Danışmanlık ve Bağımsız Denetim A.Ş.</w:t>
                    </w:r>
                  </w:p>
                  <w:p w14:paraId="654A74AA" w14:textId="77777777" w:rsidR="001D2026" w:rsidRPr="00447D36" w:rsidRDefault="001D2026" w:rsidP="001D20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Cumhuriyet Mah. Yeniyol Sok. Bomonti Business Center</w:t>
                    </w:r>
                  </w:p>
                  <w:p w14:paraId="746A8B86" w14:textId="77777777" w:rsidR="001D2026" w:rsidRPr="00447D36" w:rsidRDefault="001D2026" w:rsidP="001D20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No:8 K:4 D:22 Bomonti- Şişli – İstanbul</w:t>
                    </w:r>
                  </w:p>
                  <w:p w14:paraId="367797DB" w14:textId="77777777" w:rsidR="001D2026" w:rsidRPr="00447D36" w:rsidRDefault="001D2026" w:rsidP="001D2026">
                    <w:pPr>
                      <w:spacing w:after="0" w:line="180" w:lineRule="exact"/>
                      <w:ind w:left="-108"/>
                      <w:jc w:val="right"/>
                      <w:rPr>
                        <w:rFonts w:ascii="Arial" w:hAnsi="Arial" w:cs="Arial"/>
                        <w:color w:val="5B9BD5" w:themeColor="accent1"/>
                        <w:sz w:val="16"/>
                        <w:szCs w:val="16"/>
                      </w:rPr>
                    </w:pPr>
                    <w:r w:rsidRPr="00447D36">
                      <w:rPr>
                        <w:rFonts w:ascii="Arial" w:hAnsi="Arial" w:cs="Arial"/>
                        <w:color w:val="5B9BD5" w:themeColor="accent1"/>
                        <w:sz w:val="16"/>
                        <w:szCs w:val="16"/>
                      </w:rPr>
                      <w:t>T: +90 212 217 02 30</w:t>
                    </w:r>
                  </w:p>
                  <w:p w14:paraId="25096FEC" w14:textId="77777777" w:rsidR="001D2026" w:rsidRPr="0064371B" w:rsidRDefault="001D2026" w:rsidP="001D2026">
                    <w:pPr>
                      <w:spacing w:after="0" w:line="180" w:lineRule="exact"/>
                      <w:ind w:left="-108"/>
                      <w:jc w:val="right"/>
                      <w:rPr>
                        <w:rFonts w:ascii="Arial" w:hAnsi="Arial" w:cs="Arial"/>
                        <w:color w:val="5B9BD5" w:themeColor="accent1"/>
                        <w:sz w:val="16"/>
                        <w:szCs w:val="15"/>
                      </w:rPr>
                    </w:pPr>
                    <w:r w:rsidRPr="00447D36">
                      <w:rPr>
                        <w:rFonts w:ascii="Arial" w:hAnsi="Arial" w:cs="Arial"/>
                        <w:color w:val="5B9BD5" w:themeColor="accent1"/>
                        <w:sz w:val="16"/>
                        <w:szCs w:val="16"/>
                      </w:rPr>
                      <w:t>F: +90 212 217 02 29</w:t>
                    </w:r>
                    <w:r w:rsidRPr="0064371B">
                      <w:rPr>
                        <w:rFonts w:ascii="Arial" w:hAnsi="Arial" w:cs="Arial"/>
                        <w:color w:val="5B9BD5" w:themeColor="accent1"/>
                        <w:sz w:val="16"/>
                        <w:szCs w:val="15"/>
                      </w:rPr>
                      <w:t xml:space="preserve">  </w:t>
                    </w:r>
                  </w:p>
                  <w:p w14:paraId="76176F85" w14:textId="77777777" w:rsidR="001D2026" w:rsidRDefault="001D2026" w:rsidP="001D2026">
                    <w:pPr>
                      <w:jc w:val="right"/>
                    </w:pPr>
                    <w:r w:rsidRPr="0064371B">
                      <w:rPr>
                        <w:rFonts w:ascii="Arial" w:hAnsi="Arial" w:cs="Arial"/>
                        <w:color w:val="5B9BD5" w:themeColor="accent1"/>
                        <w:sz w:val="16"/>
                        <w:szCs w:val="15"/>
                      </w:rPr>
                      <w:t>www.crowe.com.tr</w:t>
                    </w:r>
                  </w:p>
                </w:txbxContent>
              </v:textbox>
              <w10:wrap type="square"/>
            </v:shape>
          </w:pict>
        </mc:Fallback>
      </mc:AlternateContent>
    </w:r>
    <w:r w:rsidRPr="00725DAD">
      <w:rPr>
        <w:noProof/>
        <w:lang w:eastAsia="tr-TR"/>
      </w:rPr>
      <w:drawing>
        <wp:inline distT="0" distB="0" distL="0" distR="0" wp14:anchorId="573393F6" wp14:editId="70C0307C">
          <wp:extent cx="1282700"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361950"/>
                  </a:xfrm>
                  <a:prstGeom prst="rect">
                    <a:avLst/>
                  </a:prstGeom>
                  <a:noFill/>
                  <a:ln>
                    <a:noFill/>
                  </a:ln>
                </pic:spPr>
              </pic:pic>
            </a:graphicData>
          </a:graphic>
        </wp:inline>
      </w:drawing>
    </w:r>
    <w:r>
      <w:tab/>
    </w:r>
  </w:p>
  <w:p w14:paraId="35FB5A95" w14:textId="77777777" w:rsidR="001D2026" w:rsidRDefault="001D202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03AFA" w14:textId="77777777" w:rsidR="001D2026" w:rsidRPr="0041052D" w:rsidRDefault="001D2026">
    <w:pPr>
      <w:pStyle w:val="stBilgi"/>
      <w:rPr>
        <w:rFonts w:ascii="Times New Roman" w:hAnsi="Times New Roman" w:cs="Times New Roman"/>
        <w:b/>
        <w:color w:val="1F3864" w:themeColor="accent5" w:themeShade="80"/>
        <w:sz w:val="24"/>
        <w:szCs w:val="24"/>
      </w:rPr>
    </w:pPr>
    <w:r w:rsidRPr="002E0B89">
      <w:rPr>
        <w:rFonts w:ascii="Times New Roman" w:hAnsi="Times New Roman" w:cs="Times New Roman"/>
        <w:b/>
        <w:color w:val="1F3864" w:themeColor="accent5" w:themeShade="80"/>
        <w:sz w:val="24"/>
        <w:szCs w:val="24"/>
      </w:rPr>
      <w:t xml:space="preserve">HEDEF PORTFÖY </w:t>
    </w:r>
    <w:r>
      <w:rPr>
        <w:rFonts w:ascii="Times New Roman" w:hAnsi="Times New Roman" w:cs="Times New Roman"/>
        <w:b/>
        <w:color w:val="1F3864" w:themeColor="accent5" w:themeShade="80"/>
        <w:sz w:val="24"/>
        <w:szCs w:val="24"/>
      </w:rPr>
      <w:t>MAVİ</w:t>
    </w:r>
    <w:r w:rsidRPr="002E0B89">
      <w:rPr>
        <w:rFonts w:ascii="Times New Roman" w:hAnsi="Times New Roman" w:cs="Times New Roman"/>
        <w:b/>
        <w:color w:val="1F3864" w:themeColor="accent5" w:themeShade="80"/>
        <w:sz w:val="24"/>
        <w:szCs w:val="24"/>
      </w:rPr>
      <w:t xml:space="preserve"> HİSSE SENEDİ SERBEST</w:t>
    </w:r>
    <w:r>
      <w:rPr>
        <w:rFonts w:ascii="Times New Roman" w:hAnsi="Times New Roman" w:cs="Times New Roman"/>
        <w:b/>
        <w:color w:val="1F3864" w:themeColor="accent5" w:themeShade="80"/>
        <w:sz w:val="24"/>
        <w:szCs w:val="24"/>
      </w:rPr>
      <w:t>(TL)</w:t>
    </w:r>
    <w:r w:rsidRPr="002E0B89">
      <w:rPr>
        <w:rFonts w:ascii="Times New Roman" w:hAnsi="Times New Roman" w:cs="Times New Roman"/>
        <w:b/>
        <w:color w:val="1F3864" w:themeColor="accent5" w:themeShade="80"/>
        <w:sz w:val="24"/>
        <w:szCs w:val="24"/>
      </w:rPr>
      <w:t xml:space="preserve"> FON (HİSSE SENEDİ YOĞUN FON)</w:t>
    </w:r>
    <w:r>
      <w:rPr>
        <w:rFonts w:ascii="Times New Roman" w:hAnsi="Times New Roman" w:cs="Times New Roman"/>
        <w:b/>
        <w:color w:val="1F3864" w:themeColor="accent5" w:themeShade="80"/>
        <w:sz w:val="24"/>
        <w:szCs w:val="24"/>
      </w:rPr>
      <w:t xml:space="preserve"> </w:t>
    </w:r>
    <w:r w:rsidRPr="0041052D">
      <w:rPr>
        <w:rFonts w:ascii="Times New Roman" w:hAnsi="Times New Roman" w:cs="Times New Roman"/>
        <w:b/>
        <w:color w:val="1F3864" w:themeColor="accent5" w:themeShade="80"/>
        <w:sz w:val="24"/>
        <w:szCs w:val="24"/>
      </w:rPr>
      <w:t>FON</w:t>
    </w:r>
    <w:r>
      <w:rPr>
        <w:rFonts w:ascii="Times New Roman" w:hAnsi="Times New Roman" w:cs="Times New Roman"/>
        <w:b/>
        <w:color w:val="1F3864" w:themeColor="accent5" w:themeShade="80"/>
        <w:sz w:val="24"/>
        <w:szCs w:val="24"/>
      </w:rPr>
      <w:t xml:space="preserve"> PERFORMANS SUNUM</w:t>
    </w:r>
    <w:r w:rsidRPr="0041052D">
      <w:rPr>
        <w:rFonts w:ascii="Times New Roman" w:hAnsi="Times New Roman" w:cs="Times New Roman"/>
        <w:b/>
        <w:color w:val="1F3864" w:themeColor="accent5" w:themeShade="80"/>
        <w:sz w:val="24"/>
        <w:szCs w:val="24"/>
      </w:rPr>
      <w:t xml:space="preserve"> RAPORU</w:t>
    </w:r>
  </w:p>
  <w:p w14:paraId="02638AE6" w14:textId="77777777" w:rsidR="001D2026" w:rsidRDefault="001D2026">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6D5E15" w14:textId="77777777" w:rsidR="001D2026" w:rsidRDefault="001D20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90232"/>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C6552A"/>
    <w:multiLevelType w:val="hybridMultilevel"/>
    <w:tmpl w:val="FFFFFFFF"/>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22000978"/>
    <w:multiLevelType w:val="hybridMultilevel"/>
    <w:tmpl w:val="DF288936"/>
    <w:lvl w:ilvl="0" w:tplc="746AAB9C">
      <w:start w:val="1"/>
      <w:numFmt w:val="decimal"/>
      <w:lvlText w:val="%1)"/>
      <w:lvlJc w:val="left"/>
      <w:pPr>
        <w:ind w:left="220" w:hanging="329"/>
      </w:pPr>
      <w:rPr>
        <w:rFonts w:ascii="Times New Roman" w:eastAsia="Times New Roman" w:hAnsi="Times New Roman" w:cs="Times New Roman" w:hint="default"/>
        <w:b/>
        <w:bCs/>
        <w:spacing w:val="-4"/>
        <w:w w:val="99"/>
        <w:sz w:val="24"/>
        <w:szCs w:val="24"/>
        <w:lang w:val="tr-TR" w:eastAsia="en-US" w:bidi="ar-SA"/>
      </w:rPr>
    </w:lvl>
    <w:lvl w:ilvl="1" w:tplc="2C40F9C4">
      <w:numFmt w:val="bullet"/>
      <w:lvlText w:val="•"/>
      <w:lvlJc w:val="left"/>
      <w:pPr>
        <w:ind w:left="1214" w:hanging="329"/>
      </w:pPr>
      <w:rPr>
        <w:rFonts w:hint="default"/>
        <w:lang w:val="tr-TR" w:eastAsia="en-US" w:bidi="ar-SA"/>
      </w:rPr>
    </w:lvl>
    <w:lvl w:ilvl="2" w:tplc="819258C8">
      <w:numFmt w:val="bullet"/>
      <w:lvlText w:val="•"/>
      <w:lvlJc w:val="left"/>
      <w:pPr>
        <w:ind w:left="2209" w:hanging="329"/>
      </w:pPr>
      <w:rPr>
        <w:rFonts w:hint="default"/>
        <w:lang w:val="tr-TR" w:eastAsia="en-US" w:bidi="ar-SA"/>
      </w:rPr>
    </w:lvl>
    <w:lvl w:ilvl="3" w:tplc="647C683A">
      <w:numFmt w:val="bullet"/>
      <w:lvlText w:val="•"/>
      <w:lvlJc w:val="left"/>
      <w:pPr>
        <w:ind w:left="3203" w:hanging="329"/>
      </w:pPr>
      <w:rPr>
        <w:rFonts w:hint="default"/>
        <w:lang w:val="tr-TR" w:eastAsia="en-US" w:bidi="ar-SA"/>
      </w:rPr>
    </w:lvl>
    <w:lvl w:ilvl="4" w:tplc="D5E68424">
      <w:numFmt w:val="bullet"/>
      <w:lvlText w:val="•"/>
      <w:lvlJc w:val="left"/>
      <w:pPr>
        <w:ind w:left="4198" w:hanging="329"/>
      </w:pPr>
      <w:rPr>
        <w:rFonts w:hint="default"/>
        <w:lang w:val="tr-TR" w:eastAsia="en-US" w:bidi="ar-SA"/>
      </w:rPr>
    </w:lvl>
    <w:lvl w:ilvl="5" w:tplc="BC2460B4">
      <w:numFmt w:val="bullet"/>
      <w:lvlText w:val="•"/>
      <w:lvlJc w:val="left"/>
      <w:pPr>
        <w:ind w:left="5193" w:hanging="329"/>
      </w:pPr>
      <w:rPr>
        <w:rFonts w:hint="default"/>
        <w:lang w:val="tr-TR" w:eastAsia="en-US" w:bidi="ar-SA"/>
      </w:rPr>
    </w:lvl>
    <w:lvl w:ilvl="6" w:tplc="4B06AB2C">
      <w:numFmt w:val="bullet"/>
      <w:lvlText w:val="•"/>
      <w:lvlJc w:val="left"/>
      <w:pPr>
        <w:ind w:left="6187" w:hanging="329"/>
      </w:pPr>
      <w:rPr>
        <w:rFonts w:hint="default"/>
        <w:lang w:val="tr-TR" w:eastAsia="en-US" w:bidi="ar-SA"/>
      </w:rPr>
    </w:lvl>
    <w:lvl w:ilvl="7" w:tplc="5EBA5A9C">
      <w:numFmt w:val="bullet"/>
      <w:lvlText w:val="•"/>
      <w:lvlJc w:val="left"/>
      <w:pPr>
        <w:ind w:left="7182" w:hanging="329"/>
      </w:pPr>
      <w:rPr>
        <w:rFonts w:hint="default"/>
        <w:lang w:val="tr-TR" w:eastAsia="en-US" w:bidi="ar-SA"/>
      </w:rPr>
    </w:lvl>
    <w:lvl w:ilvl="8" w:tplc="9C502586">
      <w:numFmt w:val="bullet"/>
      <w:lvlText w:val="•"/>
      <w:lvlJc w:val="left"/>
      <w:pPr>
        <w:ind w:left="8177" w:hanging="329"/>
      </w:pPr>
      <w:rPr>
        <w:rFonts w:hint="default"/>
        <w:lang w:val="tr-TR" w:eastAsia="en-US" w:bidi="ar-SA"/>
      </w:rPr>
    </w:lvl>
  </w:abstractNum>
  <w:abstractNum w:abstractNumId="3" w15:restartNumberingAfterBreak="0">
    <w:nsid w:val="284E7D39"/>
    <w:multiLevelType w:val="hybridMultilevel"/>
    <w:tmpl w:val="6590E0CE"/>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0B84948"/>
    <w:multiLevelType w:val="hybridMultilevel"/>
    <w:tmpl w:val="0D7CC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7574CA"/>
    <w:multiLevelType w:val="hybridMultilevel"/>
    <w:tmpl w:val="DDC0A4CE"/>
    <w:lvl w:ilvl="0" w:tplc="E9340EE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EC115B"/>
    <w:multiLevelType w:val="hybridMultilevel"/>
    <w:tmpl w:val="FDE4AFE2"/>
    <w:lvl w:ilvl="0" w:tplc="274031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5EE28F4"/>
    <w:multiLevelType w:val="hybridMultilevel"/>
    <w:tmpl w:val="78DC04CA"/>
    <w:lvl w:ilvl="0" w:tplc="1CE60560">
      <w:start w:val="1"/>
      <w:numFmt w:val="decimal"/>
      <w:lvlText w:val="%1)"/>
      <w:lvlJc w:val="left"/>
      <w:pPr>
        <w:ind w:left="720" w:hanging="360"/>
      </w:pPr>
      <w:rPr>
        <w:rFonts w:hint="default"/>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E463E02"/>
    <w:multiLevelType w:val="hybridMultilevel"/>
    <w:tmpl w:val="285CAA12"/>
    <w:lvl w:ilvl="0" w:tplc="E9FAD53C">
      <w:start w:val="1"/>
      <w:numFmt w:val="lowerLetter"/>
      <w:lvlText w:val="%1-"/>
      <w:lvlJc w:val="left"/>
      <w:pPr>
        <w:ind w:left="928" w:hanging="260"/>
      </w:pPr>
      <w:rPr>
        <w:rFonts w:ascii="Times New Roman" w:eastAsia="Times New Roman" w:hAnsi="Times New Roman" w:cs="Times New Roman" w:hint="default"/>
        <w:b/>
        <w:bCs/>
        <w:spacing w:val="-1"/>
        <w:w w:val="100"/>
        <w:sz w:val="24"/>
        <w:szCs w:val="24"/>
        <w:lang w:val="tr-TR" w:eastAsia="en-US" w:bidi="ar-SA"/>
      </w:rPr>
    </w:lvl>
    <w:lvl w:ilvl="1" w:tplc="E2C05F54">
      <w:numFmt w:val="bullet"/>
      <w:lvlText w:val="•"/>
      <w:lvlJc w:val="left"/>
      <w:pPr>
        <w:ind w:left="1844" w:hanging="260"/>
      </w:pPr>
      <w:rPr>
        <w:rFonts w:hint="default"/>
        <w:lang w:val="tr-TR" w:eastAsia="en-US" w:bidi="ar-SA"/>
      </w:rPr>
    </w:lvl>
    <w:lvl w:ilvl="2" w:tplc="95EE5B60">
      <w:numFmt w:val="bullet"/>
      <w:lvlText w:val="•"/>
      <w:lvlJc w:val="left"/>
      <w:pPr>
        <w:ind w:left="2769" w:hanging="260"/>
      </w:pPr>
      <w:rPr>
        <w:rFonts w:hint="default"/>
        <w:lang w:val="tr-TR" w:eastAsia="en-US" w:bidi="ar-SA"/>
      </w:rPr>
    </w:lvl>
    <w:lvl w:ilvl="3" w:tplc="D8A82F90">
      <w:numFmt w:val="bullet"/>
      <w:lvlText w:val="•"/>
      <w:lvlJc w:val="left"/>
      <w:pPr>
        <w:ind w:left="3693" w:hanging="260"/>
      </w:pPr>
      <w:rPr>
        <w:rFonts w:hint="default"/>
        <w:lang w:val="tr-TR" w:eastAsia="en-US" w:bidi="ar-SA"/>
      </w:rPr>
    </w:lvl>
    <w:lvl w:ilvl="4" w:tplc="19C4E794">
      <w:numFmt w:val="bullet"/>
      <w:lvlText w:val="•"/>
      <w:lvlJc w:val="left"/>
      <w:pPr>
        <w:ind w:left="4618" w:hanging="260"/>
      </w:pPr>
      <w:rPr>
        <w:rFonts w:hint="default"/>
        <w:lang w:val="tr-TR" w:eastAsia="en-US" w:bidi="ar-SA"/>
      </w:rPr>
    </w:lvl>
    <w:lvl w:ilvl="5" w:tplc="BBD8E7AE">
      <w:numFmt w:val="bullet"/>
      <w:lvlText w:val="•"/>
      <w:lvlJc w:val="left"/>
      <w:pPr>
        <w:ind w:left="5543" w:hanging="260"/>
      </w:pPr>
      <w:rPr>
        <w:rFonts w:hint="default"/>
        <w:lang w:val="tr-TR" w:eastAsia="en-US" w:bidi="ar-SA"/>
      </w:rPr>
    </w:lvl>
    <w:lvl w:ilvl="6" w:tplc="B6E88D12">
      <w:numFmt w:val="bullet"/>
      <w:lvlText w:val="•"/>
      <w:lvlJc w:val="left"/>
      <w:pPr>
        <w:ind w:left="6467" w:hanging="260"/>
      </w:pPr>
      <w:rPr>
        <w:rFonts w:hint="default"/>
        <w:lang w:val="tr-TR" w:eastAsia="en-US" w:bidi="ar-SA"/>
      </w:rPr>
    </w:lvl>
    <w:lvl w:ilvl="7" w:tplc="519AE29A">
      <w:numFmt w:val="bullet"/>
      <w:lvlText w:val="•"/>
      <w:lvlJc w:val="left"/>
      <w:pPr>
        <w:ind w:left="7392" w:hanging="260"/>
      </w:pPr>
      <w:rPr>
        <w:rFonts w:hint="default"/>
        <w:lang w:val="tr-TR" w:eastAsia="en-US" w:bidi="ar-SA"/>
      </w:rPr>
    </w:lvl>
    <w:lvl w:ilvl="8" w:tplc="F3B61FD2">
      <w:numFmt w:val="bullet"/>
      <w:lvlText w:val="•"/>
      <w:lvlJc w:val="left"/>
      <w:pPr>
        <w:ind w:left="8317" w:hanging="260"/>
      </w:pPr>
      <w:rPr>
        <w:rFonts w:hint="default"/>
        <w:lang w:val="tr-TR" w:eastAsia="en-US" w:bidi="ar-SA"/>
      </w:rPr>
    </w:lvl>
  </w:abstractNum>
  <w:num w:numId="1" w16cid:durableId="232082151">
    <w:abstractNumId w:val="3"/>
  </w:num>
  <w:num w:numId="2" w16cid:durableId="511918581">
    <w:abstractNumId w:val="0"/>
  </w:num>
  <w:num w:numId="3" w16cid:durableId="808549026">
    <w:abstractNumId w:val="7"/>
  </w:num>
  <w:num w:numId="4" w16cid:durableId="109057548">
    <w:abstractNumId w:val="6"/>
  </w:num>
  <w:num w:numId="5" w16cid:durableId="11124357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8397085">
    <w:abstractNumId w:val="8"/>
  </w:num>
  <w:num w:numId="7" w16cid:durableId="1444571458">
    <w:abstractNumId w:val="2"/>
  </w:num>
  <w:num w:numId="8" w16cid:durableId="665669548">
    <w:abstractNumId w:val="4"/>
  </w:num>
  <w:num w:numId="9" w16cid:durableId="506943432">
    <w:abstractNumId w:val="5"/>
  </w:num>
  <w:num w:numId="10" w16cid:durableId="64292465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slı ASLAN">
    <w15:presenceInfo w15:providerId="AD" w15:userId="S-1-5-21-4214868934-3251707594-3945005557-3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D6"/>
    <w:rsid w:val="00016B29"/>
    <w:rsid w:val="00030329"/>
    <w:rsid w:val="00032E31"/>
    <w:rsid w:val="000333B4"/>
    <w:rsid w:val="00044114"/>
    <w:rsid w:val="000669A7"/>
    <w:rsid w:val="000A1D61"/>
    <w:rsid w:val="000B2046"/>
    <w:rsid w:val="000B75DC"/>
    <w:rsid w:val="000E1417"/>
    <w:rsid w:val="000F7A0F"/>
    <w:rsid w:val="000F7B1B"/>
    <w:rsid w:val="00103F61"/>
    <w:rsid w:val="00106889"/>
    <w:rsid w:val="00137894"/>
    <w:rsid w:val="00154745"/>
    <w:rsid w:val="00164387"/>
    <w:rsid w:val="00177571"/>
    <w:rsid w:val="001B1348"/>
    <w:rsid w:val="001B1C6E"/>
    <w:rsid w:val="001C4968"/>
    <w:rsid w:val="001D05DC"/>
    <w:rsid w:val="001D2026"/>
    <w:rsid w:val="001D40DC"/>
    <w:rsid w:val="001E0E01"/>
    <w:rsid w:val="00223B91"/>
    <w:rsid w:val="00233356"/>
    <w:rsid w:val="0023421B"/>
    <w:rsid w:val="00236423"/>
    <w:rsid w:val="00237C1F"/>
    <w:rsid w:val="00242370"/>
    <w:rsid w:val="00253767"/>
    <w:rsid w:val="00275FAF"/>
    <w:rsid w:val="00294CF5"/>
    <w:rsid w:val="00295675"/>
    <w:rsid w:val="002A15D8"/>
    <w:rsid w:val="002B133F"/>
    <w:rsid w:val="002D41EB"/>
    <w:rsid w:val="002D47A7"/>
    <w:rsid w:val="002E0202"/>
    <w:rsid w:val="002E0B89"/>
    <w:rsid w:val="002E2517"/>
    <w:rsid w:val="002E685D"/>
    <w:rsid w:val="002F33C2"/>
    <w:rsid w:val="00345E9E"/>
    <w:rsid w:val="003504C6"/>
    <w:rsid w:val="00351EF4"/>
    <w:rsid w:val="00353A6C"/>
    <w:rsid w:val="003545D0"/>
    <w:rsid w:val="00373F9B"/>
    <w:rsid w:val="00392B73"/>
    <w:rsid w:val="00395760"/>
    <w:rsid w:val="003B245E"/>
    <w:rsid w:val="003C50AC"/>
    <w:rsid w:val="003D35A3"/>
    <w:rsid w:val="003D4A1E"/>
    <w:rsid w:val="003D66F7"/>
    <w:rsid w:val="00401179"/>
    <w:rsid w:val="0041052D"/>
    <w:rsid w:val="00411F2E"/>
    <w:rsid w:val="00416252"/>
    <w:rsid w:val="00432916"/>
    <w:rsid w:val="00436AAF"/>
    <w:rsid w:val="00460552"/>
    <w:rsid w:val="00495B04"/>
    <w:rsid w:val="004A5550"/>
    <w:rsid w:val="004C5257"/>
    <w:rsid w:val="004E72E0"/>
    <w:rsid w:val="0059671B"/>
    <w:rsid w:val="00596C79"/>
    <w:rsid w:val="005A19EC"/>
    <w:rsid w:val="005B4267"/>
    <w:rsid w:val="005C70A1"/>
    <w:rsid w:val="005D0231"/>
    <w:rsid w:val="005D3818"/>
    <w:rsid w:val="005F5413"/>
    <w:rsid w:val="00603F4C"/>
    <w:rsid w:val="0062182C"/>
    <w:rsid w:val="00621CF3"/>
    <w:rsid w:val="00623AF0"/>
    <w:rsid w:val="006554C1"/>
    <w:rsid w:val="0068499E"/>
    <w:rsid w:val="006858ED"/>
    <w:rsid w:val="0068663D"/>
    <w:rsid w:val="006A0773"/>
    <w:rsid w:val="006A6EF1"/>
    <w:rsid w:val="006C07D6"/>
    <w:rsid w:val="006D1809"/>
    <w:rsid w:val="006E0AB0"/>
    <w:rsid w:val="006F1320"/>
    <w:rsid w:val="00732B90"/>
    <w:rsid w:val="007403AA"/>
    <w:rsid w:val="00774958"/>
    <w:rsid w:val="007A0262"/>
    <w:rsid w:val="007B4462"/>
    <w:rsid w:val="007B4E2D"/>
    <w:rsid w:val="007C73DD"/>
    <w:rsid w:val="007D2136"/>
    <w:rsid w:val="007D75CD"/>
    <w:rsid w:val="00817594"/>
    <w:rsid w:val="008260F4"/>
    <w:rsid w:val="00846A9F"/>
    <w:rsid w:val="0087654A"/>
    <w:rsid w:val="00897BBB"/>
    <w:rsid w:val="008A2B04"/>
    <w:rsid w:val="008A4183"/>
    <w:rsid w:val="008A4474"/>
    <w:rsid w:val="008A60CB"/>
    <w:rsid w:val="008C136E"/>
    <w:rsid w:val="008D3E30"/>
    <w:rsid w:val="008D4B8E"/>
    <w:rsid w:val="00901163"/>
    <w:rsid w:val="00921B3F"/>
    <w:rsid w:val="00942BAD"/>
    <w:rsid w:val="009622AB"/>
    <w:rsid w:val="00973E09"/>
    <w:rsid w:val="00976460"/>
    <w:rsid w:val="009804A7"/>
    <w:rsid w:val="009A6126"/>
    <w:rsid w:val="009C7259"/>
    <w:rsid w:val="009F6DF2"/>
    <w:rsid w:val="00A05B08"/>
    <w:rsid w:val="00A17399"/>
    <w:rsid w:val="00A23DDD"/>
    <w:rsid w:val="00A263C6"/>
    <w:rsid w:val="00A2654E"/>
    <w:rsid w:val="00A50942"/>
    <w:rsid w:val="00A53B1B"/>
    <w:rsid w:val="00A6163A"/>
    <w:rsid w:val="00A667D5"/>
    <w:rsid w:val="00A67A8A"/>
    <w:rsid w:val="00A779B1"/>
    <w:rsid w:val="00A80C2E"/>
    <w:rsid w:val="00AA17B4"/>
    <w:rsid w:val="00AA2B24"/>
    <w:rsid w:val="00AC30F1"/>
    <w:rsid w:val="00AD4058"/>
    <w:rsid w:val="00AF3154"/>
    <w:rsid w:val="00AF3A9D"/>
    <w:rsid w:val="00B0426D"/>
    <w:rsid w:val="00B212E2"/>
    <w:rsid w:val="00B31E30"/>
    <w:rsid w:val="00B75641"/>
    <w:rsid w:val="00B801DE"/>
    <w:rsid w:val="00B975CA"/>
    <w:rsid w:val="00BA118B"/>
    <w:rsid w:val="00BA2C65"/>
    <w:rsid w:val="00BA2F1E"/>
    <w:rsid w:val="00BC0AF1"/>
    <w:rsid w:val="00BC4211"/>
    <w:rsid w:val="00BD2A71"/>
    <w:rsid w:val="00BE1612"/>
    <w:rsid w:val="00BE37F7"/>
    <w:rsid w:val="00BF03BD"/>
    <w:rsid w:val="00BF18F2"/>
    <w:rsid w:val="00BF2B84"/>
    <w:rsid w:val="00BF54DE"/>
    <w:rsid w:val="00C10919"/>
    <w:rsid w:val="00C158F7"/>
    <w:rsid w:val="00C16969"/>
    <w:rsid w:val="00C302F4"/>
    <w:rsid w:val="00CC0D71"/>
    <w:rsid w:val="00CC7520"/>
    <w:rsid w:val="00CD4C99"/>
    <w:rsid w:val="00CD7184"/>
    <w:rsid w:val="00CE5082"/>
    <w:rsid w:val="00CE6762"/>
    <w:rsid w:val="00CF029B"/>
    <w:rsid w:val="00D06446"/>
    <w:rsid w:val="00D302F4"/>
    <w:rsid w:val="00D34E03"/>
    <w:rsid w:val="00D36275"/>
    <w:rsid w:val="00D42D4B"/>
    <w:rsid w:val="00D52CC0"/>
    <w:rsid w:val="00D7161B"/>
    <w:rsid w:val="00D77D44"/>
    <w:rsid w:val="00D81B9A"/>
    <w:rsid w:val="00D900D1"/>
    <w:rsid w:val="00DD2C41"/>
    <w:rsid w:val="00E01F7C"/>
    <w:rsid w:val="00E12E3B"/>
    <w:rsid w:val="00E12E8B"/>
    <w:rsid w:val="00E27451"/>
    <w:rsid w:val="00E27CCD"/>
    <w:rsid w:val="00E312A0"/>
    <w:rsid w:val="00E50129"/>
    <w:rsid w:val="00E71ABB"/>
    <w:rsid w:val="00E815C1"/>
    <w:rsid w:val="00EA6C4D"/>
    <w:rsid w:val="00EB4DFF"/>
    <w:rsid w:val="00EB4E0D"/>
    <w:rsid w:val="00EC15BE"/>
    <w:rsid w:val="00ED76F3"/>
    <w:rsid w:val="00EE1C8B"/>
    <w:rsid w:val="00EF2040"/>
    <w:rsid w:val="00EF5398"/>
    <w:rsid w:val="00EF6B4A"/>
    <w:rsid w:val="00EF700D"/>
    <w:rsid w:val="00EF7459"/>
    <w:rsid w:val="00F42315"/>
    <w:rsid w:val="00F42634"/>
    <w:rsid w:val="00F5703C"/>
    <w:rsid w:val="00F70D62"/>
    <w:rsid w:val="00F76DF3"/>
    <w:rsid w:val="00F94051"/>
    <w:rsid w:val="00FC543F"/>
    <w:rsid w:val="00FE0F8F"/>
    <w:rsid w:val="00FF1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01579E"/>
  <w15:docId w15:val="{2811D3FF-6254-46BF-8ECD-AA6A786B2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21CF3"/>
    <w:pPr>
      <w:spacing w:after="200" w:line="276" w:lineRule="auto"/>
      <w:ind w:left="720"/>
      <w:contextualSpacing/>
    </w:pPr>
    <w:rPr>
      <w:rFonts w:eastAsiaTheme="minorEastAsia"/>
      <w:lang w:eastAsia="tr-TR"/>
    </w:rPr>
  </w:style>
  <w:style w:type="table" w:styleId="TabloKlavuzu">
    <w:name w:val="Table Grid"/>
    <w:basedOn w:val="NormalTablo"/>
    <w:uiPriority w:val="39"/>
    <w:rsid w:val="00A05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A05B0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5B08"/>
  </w:style>
  <w:style w:type="paragraph" w:styleId="AltBilgi">
    <w:name w:val="footer"/>
    <w:basedOn w:val="Normal"/>
    <w:link w:val="AltBilgiChar"/>
    <w:uiPriority w:val="99"/>
    <w:unhideWhenUsed/>
    <w:rsid w:val="00A05B0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5B08"/>
  </w:style>
  <w:style w:type="paragraph" w:styleId="BalonMetni">
    <w:name w:val="Balloon Text"/>
    <w:basedOn w:val="Normal"/>
    <w:link w:val="BalonMetniChar"/>
    <w:uiPriority w:val="99"/>
    <w:semiHidden/>
    <w:unhideWhenUsed/>
    <w:rsid w:val="001C496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C4968"/>
    <w:rPr>
      <w:rFonts w:ascii="Segoe UI" w:hAnsi="Segoe UI" w:cs="Segoe UI"/>
      <w:sz w:val="18"/>
      <w:szCs w:val="18"/>
    </w:rPr>
  </w:style>
  <w:style w:type="paragraph" w:styleId="GvdeMetni">
    <w:name w:val="Body Text"/>
    <w:basedOn w:val="Normal"/>
    <w:link w:val="GvdeMetniChar"/>
    <w:uiPriority w:val="1"/>
    <w:qFormat/>
    <w:rsid w:val="00CD718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CD7184"/>
    <w:rPr>
      <w:rFonts w:ascii="Times New Roman" w:eastAsia="Times New Roman" w:hAnsi="Times New Roman" w:cs="Times New Roman"/>
      <w:sz w:val="24"/>
      <w:szCs w:val="24"/>
    </w:rPr>
  </w:style>
  <w:style w:type="paragraph" w:customStyle="1" w:styleId="Default">
    <w:name w:val="Default"/>
    <w:rsid w:val="001D2026"/>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VarsaylanParagrafYazTipi"/>
    <w:rsid w:val="001D2026"/>
  </w:style>
  <w:style w:type="paragraph" w:customStyle="1" w:styleId="paragraph">
    <w:name w:val="paragraph"/>
    <w:basedOn w:val="Normal"/>
    <w:rsid w:val="001D202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eop">
    <w:name w:val="eop"/>
    <w:basedOn w:val="VarsaylanParagrafYazTipi"/>
    <w:rsid w:val="001D2026"/>
  </w:style>
  <w:style w:type="character" w:styleId="AklamaBavurusu">
    <w:name w:val="annotation reference"/>
    <w:basedOn w:val="VarsaylanParagrafYazTipi"/>
    <w:uiPriority w:val="99"/>
    <w:semiHidden/>
    <w:unhideWhenUsed/>
    <w:rsid w:val="001D2026"/>
    <w:rPr>
      <w:sz w:val="16"/>
      <w:szCs w:val="16"/>
    </w:rPr>
  </w:style>
  <w:style w:type="paragraph" w:styleId="AklamaMetni">
    <w:name w:val="annotation text"/>
    <w:basedOn w:val="Normal"/>
    <w:link w:val="AklamaMetniChar"/>
    <w:uiPriority w:val="99"/>
    <w:unhideWhenUsed/>
    <w:rsid w:val="001D2026"/>
    <w:pPr>
      <w:spacing w:line="240" w:lineRule="auto"/>
    </w:pPr>
    <w:rPr>
      <w:sz w:val="20"/>
      <w:szCs w:val="20"/>
    </w:rPr>
  </w:style>
  <w:style w:type="character" w:customStyle="1" w:styleId="AklamaMetniChar">
    <w:name w:val="Açıklama Metni Char"/>
    <w:basedOn w:val="VarsaylanParagrafYazTipi"/>
    <w:link w:val="AklamaMetni"/>
    <w:uiPriority w:val="99"/>
    <w:rsid w:val="001D2026"/>
    <w:rPr>
      <w:sz w:val="20"/>
      <w:szCs w:val="20"/>
    </w:rPr>
  </w:style>
  <w:style w:type="paragraph" w:styleId="AklamaKonusu">
    <w:name w:val="annotation subject"/>
    <w:basedOn w:val="AklamaMetni"/>
    <w:next w:val="AklamaMetni"/>
    <w:link w:val="AklamaKonusuChar"/>
    <w:uiPriority w:val="99"/>
    <w:semiHidden/>
    <w:unhideWhenUsed/>
    <w:rsid w:val="001D2026"/>
    <w:rPr>
      <w:b/>
      <w:bCs/>
    </w:rPr>
  </w:style>
  <w:style w:type="character" w:customStyle="1" w:styleId="AklamaKonusuChar">
    <w:name w:val="Açıklama Konusu Char"/>
    <w:basedOn w:val="AklamaMetniChar"/>
    <w:link w:val="AklamaKonusu"/>
    <w:uiPriority w:val="99"/>
    <w:semiHidden/>
    <w:rsid w:val="001D202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826873">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349918962">
      <w:bodyDiv w:val="1"/>
      <w:marLeft w:val="0"/>
      <w:marRight w:val="0"/>
      <w:marTop w:val="0"/>
      <w:marBottom w:val="0"/>
      <w:divBdr>
        <w:top w:val="none" w:sz="0" w:space="0" w:color="auto"/>
        <w:left w:val="none" w:sz="0" w:space="0" w:color="auto"/>
        <w:bottom w:val="none" w:sz="0" w:space="0" w:color="auto"/>
        <w:right w:val="none" w:sz="0" w:space="0" w:color="auto"/>
      </w:divBdr>
    </w:div>
    <w:div w:id="367800711">
      <w:bodyDiv w:val="1"/>
      <w:marLeft w:val="0"/>
      <w:marRight w:val="0"/>
      <w:marTop w:val="0"/>
      <w:marBottom w:val="0"/>
      <w:divBdr>
        <w:top w:val="none" w:sz="0" w:space="0" w:color="auto"/>
        <w:left w:val="none" w:sz="0" w:space="0" w:color="auto"/>
        <w:bottom w:val="none" w:sz="0" w:space="0" w:color="auto"/>
        <w:right w:val="none" w:sz="0" w:space="0" w:color="auto"/>
      </w:divBdr>
    </w:div>
    <w:div w:id="382021780">
      <w:bodyDiv w:val="1"/>
      <w:marLeft w:val="0"/>
      <w:marRight w:val="0"/>
      <w:marTop w:val="0"/>
      <w:marBottom w:val="0"/>
      <w:divBdr>
        <w:top w:val="none" w:sz="0" w:space="0" w:color="auto"/>
        <w:left w:val="none" w:sz="0" w:space="0" w:color="auto"/>
        <w:bottom w:val="none" w:sz="0" w:space="0" w:color="auto"/>
        <w:right w:val="none" w:sz="0" w:space="0" w:color="auto"/>
      </w:divBdr>
    </w:div>
    <w:div w:id="428354591">
      <w:bodyDiv w:val="1"/>
      <w:marLeft w:val="0"/>
      <w:marRight w:val="0"/>
      <w:marTop w:val="0"/>
      <w:marBottom w:val="0"/>
      <w:divBdr>
        <w:top w:val="none" w:sz="0" w:space="0" w:color="auto"/>
        <w:left w:val="none" w:sz="0" w:space="0" w:color="auto"/>
        <w:bottom w:val="none" w:sz="0" w:space="0" w:color="auto"/>
        <w:right w:val="none" w:sz="0" w:space="0" w:color="auto"/>
      </w:divBdr>
    </w:div>
    <w:div w:id="445659482">
      <w:bodyDiv w:val="1"/>
      <w:marLeft w:val="0"/>
      <w:marRight w:val="0"/>
      <w:marTop w:val="0"/>
      <w:marBottom w:val="0"/>
      <w:divBdr>
        <w:top w:val="none" w:sz="0" w:space="0" w:color="auto"/>
        <w:left w:val="none" w:sz="0" w:space="0" w:color="auto"/>
        <w:bottom w:val="none" w:sz="0" w:space="0" w:color="auto"/>
        <w:right w:val="none" w:sz="0" w:space="0" w:color="auto"/>
      </w:divBdr>
    </w:div>
    <w:div w:id="478036836">
      <w:bodyDiv w:val="1"/>
      <w:marLeft w:val="0"/>
      <w:marRight w:val="0"/>
      <w:marTop w:val="0"/>
      <w:marBottom w:val="0"/>
      <w:divBdr>
        <w:top w:val="none" w:sz="0" w:space="0" w:color="auto"/>
        <w:left w:val="none" w:sz="0" w:space="0" w:color="auto"/>
        <w:bottom w:val="none" w:sz="0" w:space="0" w:color="auto"/>
        <w:right w:val="none" w:sz="0" w:space="0" w:color="auto"/>
      </w:divBdr>
    </w:div>
    <w:div w:id="511990056">
      <w:bodyDiv w:val="1"/>
      <w:marLeft w:val="0"/>
      <w:marRight w:val="0"/>
      <w:marTop w:val="0"/>
      <w:marBottom w:val="0"/>
      <w:divBdr>
        <w:top w:val="none" w:sz="0" w:space="0" w:color="auto"/>
        <w:left w:val="none" w:sz="0" w:space="0" w:color="auto"/>
        <w:bottom w:val="none" w:sz="0" w:space="0" w:color="auto"/>
        <w:right w:val="none" w:sz="0" w:space="0" w:color="auto"/>
      </w:divBdr>
    </w:div>
    <w:div w:id="537201582">
      <w:bodyDiv w:val="1"/>
      <w:marLeft w:val="0"/>
      <w:marRight w:val="0"/>
      <w:marTop w:val="0"/>
      <w:marBottom w:val="0"/>
      <w:divBdr>
        <w:top w:val="none" w:sz="0" w:space="0" w:color="auto"/>
        <w:left w:val="none" w:sz="0" w:space="0" w:color="auto"/>
        <w:bottom w:val="none" w:sz="0" w:space="0" w:color="auto"/>
        <w:right w:val="none" w:sz="0" w:space="0" w:color="auto"/>
      </w:divBdr>
    </w:div>
    <w:div w:id="547762301">
      <w:bodyDiv w:val="1"/>
      <w:marLeft w:val="0"/>
      <w:marRight w:val="0"/>
      <w:marTop w:val="0"/>
      <w:marBottom w:val="0"/>
      <w:divBdr>
        <w:top w:val="none" w:sz="0" w:space="0" w:color="auto"/>
        <w:left w:val="none" w:sz="0" w:space="0" w:color="auto"/>
        <w:bottom w:val="none" w:sz="0" w:space="0" w:color="auto"/>
        <w:right w:val="none" w:sz="0" w:space="0" w:color="auto"/>
      </w:divBdr>
    </w:div>
    <w:div w:id="595212736">
      <w:bodyDiv w:val="1"/>
      <w:marLeft w:val="0"/>
      <w:marRight w:val="0"/>
      <w:marTop w:val="0"/>
      <w:marBottom w:val="0"/>
      <w:divBdr>
        <w:top w:val="none" w:sz="0" w:space="0" w:color="auto"/>
        <w:left w:val="none" w:sz="0" w:space="0" w:color="auto"/>
        <w:bottom w:val="none" w:sz="0" w:space="0" w:color="auto"/>
        <w:right w:val="none" w:sz="0" w:space="0" w:color="auto"/>
      </w:divBdr>
    </w:div>
    <w:div w:id="605505867">
      <w:bodyDiv w:val="1"/>
      <w:marLeft w:val="0"/>
      <w:marRight w:val="0"/>
      <w:marTop w:val="0"/>
      <w:marBottom w:val="0"/>
      <w:divBdr>
        <w:top w:val="none" w:sz="0" w:space="0" w:color="auto"/>
        <w:left w:val="none" w:sz="0" w:space="0" w:color="auto"/>
        <w:bottom w:val="none" w:sz="0" w:space="0" w:color="auto"/>
        <w:right w:val="none" w:sz="0" w:space="0" w:color="auto"/>
      </w:divBdr>
    </w:div>
    <w:div w:id="613756724">
      <w:bodyDiv w:val="1"/>
      <w:marLeft w:val="0"/>
      <w:marRight w:val="0"/>
      <w:marTop w:val="0"/>
      <w:marBottom w:val="0"/>
      <w:divBdr>
        <w:top w:val="none" w:sz="0" w:space="0" w:color="auto"/>
        <w:left w:val="none" w:sz="0" w:space="0" w:color="auto"/>
        <w:bottom w:val="none" w:sz="0" w:space="0" w:color="auto"/>
        <w:right w:val="none" w:sz="0" w:space="0" w:color="auto"/>
      </w:divBdr>
    </w:div>
    <w:div w:id="649601363">
      <w:bodyDiv w:val="1"/>
      <w:marLeft w:val="0"/>
      <w:marRight w:val="0"/>
      <w:marTop w:val="0"/>
      <w:marBottom w:val="0"/>
      <w:divBdr>
        <w:top w:val="none" w:sz="0" w:space="0" w:color="auto"/>
        <w:left w:val="none" w:sz="0" w:space="0" w:color="auto"/>
        <w:bottom w:val="none" w:sz="0" w:space="0" w:color="auto"/>
        <w:right w:val="none" w:sz="0" w:space="0" w:color="auto"/>
      </w:divBdr>
    </w:div>
    <w:div w:id="651565552">
      <w:bodyDiv w:val="1"/>
      <w:marLeft w:val="0"/>
      <w:marRight w:val="0"/>
      <w:marTop w:val="0"/>
      <w:marBottom w:val="0"/>
      <w:divBdr>
        <w:top w:val="none" w:sz="0" w:space="0" w:color="auto"/>
        <w:left w:val="none" w:sz="0" w:space="0" w:color="auto"/>
        <w:bottom w:val="none" w:sz="0" w:space="0" w:color="auto"/>
        <w:right w:val="none" w:sz="0" w:space="0" w:color="auto"/>
      </w:divBdr>
    </w:div>
    <w:div w:id="792361457">
      <w:bodyDiv w:val="1"/>
      <w:marLeft w:val="0"/>
      <w:marRight w:val="0"/>
      <w:marTop w:val="0"/>
      <w:marBottom w:val="0"/>
      <w:divBdr>
        <w:top w:val="none" w:sz="0" w:space="0" w:color="auto"/>
        <w:left w:val="none" w:sz="0" w:space="0" w:color="auto"/>
        <w:bottom w:val="none" w:sz="0" w:space="0" w:color="auto"/>
        <w:right w:val="none" w:sz="0" w:space="0" w:color="auto"/>
      </w:divBdr>
    </w:div>
    <w:div w:id="818544862">
      <w:bodyDiv w:val="1"/>
      <w:marLeft w:val="0"/>
      <w:marRight w:val="0"/>
      <w:marTop w:val="0"/>
      <w:marBottom w:val="0"/>
      <w:divBdr>
        <w:top w:val="none" w:sz="0" w:space="0" w:color="auto"/>
        <w:left w:val="none" w:sz="0" w:space="0" w:color="auto"/>
        <w:bottom w:val="none" w:sz="0" w:space="0" w:color="auto"/>
        <w:right w:val="none" w:sz="0" w:space="0" w:color="auto"/>
      </w:divBdr>
    </w:div>
    <w:div w:id="898244435">
      <w:bodyDiv w:val="1"/>
      <w:marLeft w:val="0"/>
      <w:marRight w:val="0"/>
      <w:marTop w:val="0"/>
      <w:marBottom w:val="0"/>
      <w:divBdr>
        <w:top w:val="none" w:sz="0" w:space="0" w:color="auto"/>
        <w:left w:val="none" w:sz="0" w:space="0" w:color="auto"/>
        <w:bottom w:val="none" w:sz="0" w:space="0" w:color="auto"/>
        <w:right w:val="none" w:sz="0" w:space="0" w:color="auto"/>
      </w:divBdr>
    </w:div>
    <w:div w:id="937903644">
      <w:bodyDiv w:val="1"/>
      <w:marLeft w:val="0"/>
      <w:marRight w:val="0"/>
      <w:marTop w:val="0"/>
      <w:marBottom w:val="0"/>
      <w:divBdr>
        <w:top w:val="none" w:sz="0" w:space="0" w:color="auto"/>
        <w:left w:val="none" w:sz="0" w:space="0" w:color="auto"/>
        <w:bottom w:val="none" w:sz="0" w:space="0" w:color="auto"/>
        <w:right w:val="none" w:sz="0" w:space="0" w:color="auto"/>
      </w:divBdr>
    </w:div>
    <w:div w:id="972713182">
      <w:bodyDiv w:val="1"/>
      <w:marLeft w:val="0"/>
      <w:marRight w:val="0"/>
      <w:marTop w:val="0"/>
      <w:marBottom w:val="0"/>
      <w:divBdr>
        <w:top w:val="none" w:sz="0" w:space="0" w:color="auto"/>
        <w:left w:val="none" w:sz="0" w:space="0" w:color="auto"/>
        <w:bottom w:val="none" w:sz="0" w:space="0" w:color="auto"/>
        <w:right w:val="none" w:sz="0" w:space="0" w:color="auto"/>
      </w:divBdr>
    </w:div>
    <w:div w:id="1255481691">
      <w:bodyDiv w:val="1"/>
      <w:marLeft w:val="0"/>
      <w:marRight w:val="0"/>
      <w:marTop w:val="0"/>
      <w:marBottom w:val="0"/>
      <w:divBdr>
        <w:top w:val="none" w:sz="0" w:space="0" w:color="auto"/>
        <w:left w:val="none" w:sz="0" w:space="0" w:color="auto"/>
        <w:bottom w:val="none" w:sz="0" w:space="0" w:color="auto"/>
        <w:right w:val="none" w:sz="0" w:space="0" w:color="auto"/>
      </w:divBdr>
    </w:div>
    <w:div w:id="1542785461">
      <w:bodyDiv w:val="1"/>
      <w:marLeft w:val="0"/>
      <w:marRight w:val="0"/>
      <w:marTop w:val="0"/>
      <w:marBottom w:val="0"/>
      <w:divBdr>
        <w:top w:val="none" w:sz="0" w:space="0" w:color="auto"/>
        <w:left w:val="none" w:sz="0" w:space="0" w:color="auto"/>
        <w:bottom w:val="none" w:sz="0" w:space="0" w:color="auto"/>
        <w:right w:val="none" w:sz="0" w:space="0" w:color="auto"/>
      </w:divBdr>
    </w:div>
    <w:div w:id="1596933820">
      <w:bodyDiv w:val="1"/>
      <w:marLeft w:val="0"/>
      <w:marRight w:val="0"/>
      <w:marTop w:val="0"/>
      <w:marBottom w:val="0"/>
      <w:divBdr>
        <w:top w:val="none" w:sz="0" w:space="0" w:color="auto"/>
        <w:left w:val="none" w:sz="0" w:space="0" w:color="auto"/>
        <w:bottom w:val="none" w:sz="0" w:space="0" w:color="auto"/>
        <w:right w:val="none" w:sz="0" w:space="0" w:color="auto"/>
      </w:divBdr>
    </w:div>
    <w:div w:id="1648321553">
      <w:bodyDiv w:val="1"/>
      <w:marLeft w:val="0"/>
      <w:marRight w:val="0"/>
      <w:marTop w:val="0"/>
      <w:marBottom w:val="0"/>
      <w:divBdr>
        <w:top w:val="none" w:sz="0" w:space="0" w:color="auto"/>
        <w:left w:val="none" w:sz="0" w:space="0" w:color="auto"/>
        <w:bottom w:val="none" w:sz="0" w:space="0" w:color="auto"/>
        <w:right w:val="none" w:sz="0" w:space="0" w:color="auto"/>
      </w:divBdr>
    </w:div>
    <w:div w:id="1671331528">
      <w:bodyDiv w:val="1"/>
      <w:marLeft w:val="0"/>
      <w:marRight w:val="0"/>
      <w:marTop w:val="0"/>
      <w:marBottom w:val="0"/>
      <w:divBdr>
        <w:top w:val="none" w:sz="0" w:space="0" w:color="auto"/>
        <w:left w:val="none" w:sz="0" w:space="0" w:color="auto"/>
        <w:bottom w:val="none" w:sz="0" w:space="0" w:color="auto"/>
        <w:right w:val="none" w:sz="0" w:space="0" w:color="auto"/>
      </w:divBdr>
    </w:div>
    <w:div w:id="1760642497">
      <w:bodyDiv w:val="1"/>
      <w:marLeft w:val="0"/>
      <w:marRight w:val="0"/>
      <w:marTop w:val="0"/>
      <w:marBottom w:val="0"/>
      <w:divBdr>
        <w:top w:val="none" w:sz="0" w:space="0" w:color="auto"/>
        <w:left w:val="none" w:sz="0" w:space="0" w:color="auto"/>
        <w:bottom w:val="none" w:sz="0" w:space="0" w:color="auto"/>
        <w:right w:val="none" w:sz="0" w:space="0" w:color="auto"/>
      </w:divBdr>
    </w:div>
    <w:div w:id="1838182537">
      <w:bodyDiv w:val="1"/>
      <w:marLeft w:val="0"/>
      <w:marRight w:val="0"/>
      <w:marTop w:val="0"/>
      <w:marBottom w:val="0"/>
      <w:divBdr>
        <w:top w:val="none" w:sz="0" w:space="0" w:color="auto"/>
        <w:left w:val="none" w:sz="0" w:space="0" w:color="auto"/>
        <w:bottom w:val="none" w:sz="0" w:space="0" w:color="auto"/>
        <w:right w:val="none" w:sz="0" w:space="0" w:color="auto"/>
      </w:divBdr>
    </w:div>
    <w:div w:id="1899045329">
      <w:bodyDiv w:val="1"/>
      <w:marLeft w:val="0"/>
      <w:marRight w:val="0"/>
      <w:marTop w:val="0"/>
      <w:marBottom w:val="0"/>
      <w:divBdr>
        <w:top w:val="none" w:sz="0" w:space="0" w:color="auto"/>
        <w:left w:val="none" w:sz="0" w:space="0" w:color="auto"/>
        <w:bottom w:val="none" w:sz="0" w:space="0" w:color="auto"/>
        <w:right w:val="none" w:sz="0" w:space="0" w:color="auto"/>
      </w:divBdr>
    </w:div>
    <w:div w:id="2006741747">
      <w:bodyDiv w:val="1"/>
      <w:marLeft w:val="0"/>
      <w:marRight w:val="0"/>
      <w:marTop w:val="0"/>
      <w:marBottom w:val="0"/>
      <w:divBdr>
        <w:top w:val="none" w:sz="0" w:space="0" w:color="auto"/>
        <w:left w:val="none" w:sz="0" w:space="0" w:color="auto"/>
        <w:bottom w:val="none" w:sz="0" w:space="0" w:color="auto"/>
        <w:right w:val="none" w:sz="0" w:space="0" w:color="auto"/>
      </w:divBdr>
    </w:div>
    <w:div w:id="2023896311">
      <w:bodyDiv w:val="1"/>
      <w:marLeft w:val="0"/>
      <w:marRight w:val="0"/>
      <w:marTop w:val="0"/>
      <w:marBottom w:val="0"/>
      <w:divBdr>
        <w:top w:val="none" w:sz="0" w:space="0" w:color="auto"/>
        <w:left w:val="none" w:sz="0" w:space="0" w:color="auto"/>
        <w:bottom w:val="none" w:sz="0" w:space="0" w:color="auto"/>
        <w:right w:val="none" w:sz="0" w:space="0" w:color="auto"/>
      </w:divBdr>
    </w:div>
    <w:div w:id="2038071029">
      <w:bodyDiv w:val="1"/>
      <w:marLeft w:val="0"/>
      <w:marRight w:val="0"/>
      <w:marTop w:val="0"/>
      <w:marBottom w:val="0"/>
      <w:divBdr>
        <w:top w:val="none" w:sz="0" w:space="0" w:color="auto"/>
        <w:left w:val="none" w:sz="0" w:space="0" w:color="auto"/>
        <w:bottom w:val="none" w:sz="0" w:space="0" w:color="auto"/>
        <w:right w:val="none" w:sz="0" w:space="0" w:color="auto"/>
      </w:divBdr>
    </w:div>
    <w:div w:id="2083065218">
      <w:bodyDiv w:val="1"/>
      <w:marLeft w:val="0"/>
      <w:marRight w:val="0"/>
      <w:marTop w:val="0"/>
      <w:marBottom w:val="0"/>
      <w:divBdr>
        <w:top w:val="none" w:sz="0" w:space="0" w:color="auto"/>
        <w:left w:val="none" w:sz="0" w:space="0" w:color="auto"/>
        <w:bottom w:val="none" w:sz="0" w:space="0" w:color="auto"/>
        <w:right w:val="none" w:sz="0" w:space="0" w:color="auto"/>
      </w:divBdr>
    </w:div>
    <w:div w:id="2085641242">
      <w:bodyDiv w:val="1"/>
      <w:marLeft w:val="0"/>
      <w:marRight w:val="0"/>
      <w:marTop w:val="0"/>
      <w:marBottom w:val="0"/>
      <w:divBdr>
        <w:top w:val="none" w:sz="0" w:space="0" w:color="auto"/>
        <w:left w:val="none" w:sz="0" w:space="0" w:color="auto"/>
        <w:bottom w:val="none" w:sz="0" w:space="0" w:color="auto"/>
        <w:right w:val="none" w:sz="0" w:space="0" w:color="auto"/>
      </w:divBdr>
    </w:div>
    <w:div w:id="208760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E1D7E7D4EEC9D146BE2CF640EE7999E0" ma:contentTypeVersion="15" ma:contentTypeDescription="Yeni belge oluşturun." ma:contentTypeScope="" ma:versionID="07b6f9c294558c2b3af1d8b3c0357758">
  <xsd:schema xmlns:xsd="http://www.w3.org/2001/XMLSchema" xmlns:xs="http://www.w3.org/2001/XMLSchema" xmlns:p="http://schemas.microsoft.com/office/2006/metadata/properties" xmlns:ns2="5e3af4a5-984b-4b1d-b5d7-bb26ce05161a" xmlns:ns3="f8fb3262-dbc2-441e-aab2-289cccc96247" targetNamespace="http://schemas.microsoft.com/office/2006/metadata/properties" ma:root="true" ma:fieldsID="c2d44368bdc53add1980b6316b2670fd" ns2:_="" ns3:_="">
    <xsd:import namespace="5e3af4a5-984b-4b1d-b5d7-bb26ce05161a"/>
    <xsd:import namespace="f8fb3262-dbc2-441e-aab2-289cccc9624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af4a5-984b-4b1d-b5d7-bb26ce05161a"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TaxCatchAll" ma:index="15" nillable="true" ma:displayName="Tüm Sınıflandırmayı Yakala Sütunu" ma:hidden="true" ma:list="{7a0f98d2-e801-418d-9f43-34d8669166fc}" ma:internalName="TaxCatchAll" ma:showField="CatchAllData" ma:web="5e3af4a5-984b-4b1d-b5d7-bb26ce0516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fb3262-dbc2-441e-aab2-289cccc9624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Resim Etiketleri" ma:readOnly="false" ma:fieldId="{5cf76f15-5ced-4ddc-b409-7134ff3c332f}" ma:taxonomyMulti="true" ma:sspId="d93cb389-d351-488c-8194-2c891070e8c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F26633-F933-4DA9-AE63-F0C374C68FEF}">
  <ds:schemaRefs>
    <ds:schemaRef ds:uri="http://schemas.openxmlformats.org/officeDocument/2006/bibliography"/>
  </ds:schemaRefs>
</ds:datastoreItem>
</file>

<file path=customXml/itemProps2.xml><?xml version="1.0" encoding="utf-8"?>
<ds:datastoreItem xmlns:ds="http://schemas.openxmlformats.org/officeDocument/2006/customXml" ds:itemID="{22F44D10-2C56-44D0-9042-B10C5E2C8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af4a5-984b-4b1d-b5d7-bb26ce05161a"/>
    <ds:schemaRef ds:uri="f8fb3262-dbc2-441e-aab2-289cccc96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CD884-FD50-4851-BEA8-8D614B0E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2339</Words>
  <Characters>13333</Characters>
  <Application>Microsoft Office Word</Application>
  <DocSecurity>4</DocSecurity>
  <Lines>111</Lines>
  <Paragraphs>31</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Süleyman ARPASLAN</dc:creator>
  <cp:lastModifiedBy>Aslı ASLAN</cp:lastModifiedBy>
  <cp:revision>2</cp:revision>
  <cp:lastPrinted>2018-01-05T06:32:00Z</cp:lastPrinted>
  <dcterms:created xsi:type="dcterms:W3CDTF">2024-07-16T07:04:00Z</dcterms:created>
  <dcterms:modified xsi:type="dcterms:W3CDTF">2024-07-16T07:04:00Z</dcterms:modified>
</cp:coreProperties>
</file>