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7657" w14:textId="77777777" w:rsidR="004E72E0" w:rsidRPr="00D16AC6" w:rsidRDefault="004E72E0" w:rsidP="00621CF3">
      <w:pPr>
        <w:spacing w:after="0"/>
        <w:rPr>
          <w:rFonts w:ascii="Times New Roman" w:hAnsi="Times New Roman" w:cs="Times New Roman"/>
        </w:rPr>
      </w:pPr>
    </w:p>
    <w:p w14:paraId="477DBD40" w14:textId="77777777" w:rsidR="006C07D6" w:rsidRPr="00D16AC6" w:rsidRDefault="006C07D6" w:rsidP="00621CF3">
      <w:pPr>
        <w:spacing w:after="0"/>
        <w:rPr>
          <w:rFonts w:ascii="Times New Roman" w:hAnsi="Times New Roman" w:cs="Times New Roman"/>
        </w:rPr>
      </w:pPr>
    </w:p>
    <w:p w14:paraId="3DD20B54" w14:textId="77777777" w:rsidR="00032E31" w:rsidRPr="00D16AC6" w:rsidRDefault="00032E31" w:rsidP="00621CF3">
      <w:pPr>
        <w:spacing w:after="0"/>
        <w:rPr>
          <w:rFonts w:ascii="Times New Roman" w:hAnsi="Times New Roman" w:cs="Times New Roman"/>
        </w:rPr>
      </w:pPr>
    </w:p>
    <w:p w14:paraId="3E096F81" w14:textId="77777777" w:rsidR="00032E31" w:rsidRPr="00D16AC6" w:rsidRDefault="00032E31" w:rsidP="00621CF3">
      <w:pPr>
        <w:spacing w:after="0"/>
        <w:rPr>
          <w:rFonts w:ascii="Times New Roman" w:hAnsi="Times New Roman" w:cs="Times New Roman"/>
        </w:rPr>
      </w:pPr>
    </w:p>
    <w:p w14:paraId="0B07877A" w14:textId="77777777" w:rsidR="00032E31" w:rsidRPr="00D16AC6" w:rsidRDefault="00032E31" w:rsidP="00621CF3">
      <w:pPr>
        <w:spacing w:after="0"/>
        <w:rPr>
          <w:rFonts w:ascii="Times New Roman" w:hAnsi="Times New Roman" w:cs="Times New Roman"/>
        </w:rPr>
      </w:pPr>
    </w:p>
    <w:p w14:paraId="3AE4FE1B" w14:textId="77777777" w:rsidR="00032E31" w:rsidRPr="00D16AC6" w:rsidRDefault="00032E31" w:rsidP="00621CF3">
      <w:pPr>
        <w:spacing w:after="0"/>
        <w:rPr>
          <w:rFonts w:ascii="Times New Roman" w:hAnsi="Times New Roman" w:cs="Times New Roman"/>
        </w:rPr>
      </w:pPr>
    </w:p>
    <w:p w14:paraId="7DF520C8" w14:textId="77777777" w:rsidR="00032E31" w:rsidRPr="00D16AC6" w:rsidRDefault="00032E31" w:rsidP="00621CF3">
      <w:pPr>
        <w:spacing w:after="0"/>
        <w:rPr>
          <w:rFonts w:ascii="Times New Roman" w:hAnsi="Times New Roman" w:cs="Times New Roman"/>
        </w:rPr>
      </w:pPr>
    </w:p>
    <w:p w14:paraId="3FF783BB" w14:textId="77777777" w:rsidR="00032E31" w:rsidRPr="00D16AC6" w:rsidRDefault="00032E31" w:rsidP="00621CF3">
      <w:pPr>
        <w:spacing w:after="0"/>
        <w:rPr>
          <w:rFonts w:ascii="Times New Roman" w:hAnsi="Times New Roman" w:cs="Times New Roman"/>
        </w:rPr>
      </w:pPr>
    </w:p>
    <w:p w14:paraId="15856624" w14:textId="77777777" w:rsidR="00032E31" w:rsidRPr="00D16AC6" w:rsidRDefault="00032E31" w:rsidP="00621CF3">
      <w:pPr>
        <w:spacing w:after="0"/>
        <w:rPr>
          <w:rFonts w:ascii="Times New Roman" w:hAnsi="Times New Roman" w:cs="Times New Roman"/>
        </w:rPr>
      </w:pPr>
    </w:p>
    <w:p w14:paraId="39AC3850" w14:textId="77777777" w:rsidR="006C07D6" w:rsidRPr="00D16AC6" w:rsidRDefault="006C07D6" w:rsidP="00621CF3">
      <w:pPr>
        <w:spacing w:after="0"/>
        <w:rPr>
          <w:rFonts w:ascii="Times New Roman" w:hAnsi="Times New Roman" w:cs="Times New Roman"/>
        </w:rPr>
      </w:pPr>
    </w:p>
    <w:p w14:paraId="1EF9289C" w14:textId="77777777" w:rsidR="006C07D6" w:rsidRPr="00D16AC6" w:rsidRDefault="006C07D6" w:rsidP="00621CF3">
      <w:pPr>
        <w:spacing w:after="0"/>
        <w:rPr>
          <w:rFonts w:ascii="Times New Roman" w:hAnsi="Times New Roman" w:cs="Times New Roman"/>
          <w:sz w:val="24"/>
          <w:szCs w:val="24"/>
        </w:rPr>
      </w:pPr>
    </w:p>
    <w:p w14:paraId="5797B074" w14:textId="508E0AE4" w:rsidR="000E29E4" w:rsidRPr="00D16AC6" w:rsidRDefault="000E29E4" w:rsidP="000E29E4">
      <w:pPr>
        <w:spacing w:after="0"/>
        <w:jc w:val="center"/>
        <w:rPr>
          <w:rFonts w:ascii="Times New Roman" w:hAnsi="Times New Roman" w:cs="Times New Roman"/>
          <w:b/>
          <w:sz w:val="30"/>
          <w:szCs w:val="30"/>
        </w:rPr>
      </w:pPr>
      <w:r w:rsidRPr="00D16AC6">
        <w:rPr>
          <w:rFonts w:ascii="Times New Roman" w:hAnsi="Times New Roman" w:cs="Times New Roman"/>
          <w:b/>
          <w:sz w:val="30"/>
          <w:szCs w:val="30"/>
        </w:rPr>
        <w:t xml:space="preserve">HEDEF PORTFÖY </w:t>
      </w:r>
      <w:r w:rsidR="00BA1F9B" w:rsidRPr="00D16AC6">
        <w:rPr>
          <w:rFonts w:ascii="Times New Roman" w:hAnsi="Times New Roman" w:cs="Times New Roman"/>
          <w:b/>
          <w:sz w:val="30"/>
          <w:szCs w:val="30"/>
        </w:rPr>
        <w:t>KUZEY</w:t>
      </w:r>
      <w:r w:rsidRPr="00D16AC6">
        <w:rPr>
          <w:rFonts w:ascii="Times New Roman" w:hAnsi="Times New Roman" w:cs="Times New Roman"/>
          <w:b/>
          <w:sz w:val="30"/>
          <w:szCs w:val="30"/>
        </w:rPr>
        <w:t xml:space="preserve"> HİSSE SENEDİ SERBEST</w:t>
      </w:r>
      <w:r w:rsidR="00553667" w:rsidRPr="00D16AC6">
        <w:rPr>
          <w:rFonts w:ascii="Times New Roman" w:hAnsi="Times New Roman" w:cs="Times New Roman"/>
          <w:b/>
          <w:sz w:val="30"/>
          <w:szCs w:val="30"/>
        </w:rPr>
        <w:t>(TL)</w:t>
      </w:r>
      <w:r w:rsidRPr="00D16AC6">
        <w:rPr>
          <w:rFonts w:ascii="Times New Roman" w:hAnsi="Times New Roman" w:cs="Times New Roman"/>
          <w:b/>
          <w:sz w:val="30"/>
          <w:szCs w:val="30"/>
        </w:rPr>
        <w:t xml:space="preserve"> FON </w:t>
      </w:r>
    </w:p>
    <w:p w14:paraId="71592C6D" w14:textId="77777777" w:rsidR="000E29E4" w:rsidRPr="00D16AC6" w:rsidRDefault="000E29E4" w:rsidP="000E29E4">
      <w:pPr>
        <w:spacing w:after="0"/>
        <w:jc w:val="center"/>
        <w:rPr>
          <w:rFonts w:ascii="Times New Roman" w:hAnsi="Times New Roman" w:cs="Times New Roman"/>
          <w:b/>
          <w:sz w:val="30"/>
          <w:szCs w:val="30"/>
        </w:rPr>
      </w:pPr>
      <w:r w:rsidRPr="00D16AC6">
        <w:rPr>
          <w:rFonts w:ascii="Times New Roman" w:hAnsi="Times New Roman" w:cs="Times New Roman"/>
          <w:b/>
          <w:sz w:val="30"/>
          <w:szCs w:val="30"/>
        </w:rPr>
        <w:t>(HİSSE SENEDİ YOĞUN FON)</w:t>
      </w:r>
    </w:p>
    <w:p w14:paraId="050A4D15" w14:textId="77777777" w:rsidR="00621CF3" w:rsidRPr="00D16AC6" w:rsidRDefault="00621CF3" w:rsidP="00621CF3">
      <w:pPr>
        <w:spacing w:after="0"/>
        <w:jc w:val="center"/>
        <w:rPr>
          <w:rFonts w:ascii="Times New Roman" w:hAnsi="Times New Roman" w:cs="Times New Roman"/>
          <w:sz w:val="24"/>
          <w:szCs w:val="24"/>
        </w:rPr>
      </w:pPr>
    </w:p>
    <w:p w14:paraId="773BDF4A" w14:textId="06C63632" w:rsidR="00621CF3" w:rsidRPr="00D16AC6" w:rsidRDefault="000E29E4" w:rsidP="00621CF3">
      <w:pPr>
        <w:spacing w:after="0"/>
        <w:jc w:val="center"/>
        <w:rPr>
          <w:rFonts w:ascii="Times New Roman" w:hAnsi="Times New Roman" w:cs="Times New Roman"/>
          <w:sz w:val="24"/>
          <w:szCs w:val="24"/>
        </w:rPr>
      </w:pPr>
      <w:r w:rsidRPr="00D16AC6">
        <w:rPr>
          <w:rFonts w:ascii="Times New Roman" w:hAnsi="Times New Roman" w:cs="Times New Roman"/>
          <w:sz w:val="24"/>
          <w:szCs w:val="24"/>
        </w:rPr>
        <w:t>01</w:t>
      </w:r>
      <w:r w:rsidR="00621CF3" w:rsidRPr="00D16AC6">
        <w:rPr>
          <w:rFonts w:ascii="Times New Roman" w:hAnsi="Times New Roman" w:cs="Times New Roman"/>
          <w:sz w:val="24"/>
          <w:szCs w:val="24"/>
        </w:rPr>
        <w:t xml:space="preserve"> </w:t>
      </w:r>
      <w:r w:rsidR="00DE66B3" w:rsidRPr="00D16AC6">
        <w:rPr>
          <w:rFonts w:ascii="Times New Roman" w:hAnsi="Times New Roman" w:cs="Times New Roman"/>
          <w:sz w:val="24"/>
          <w:szCs w:val="24"/>
        </w:rPr>
        <w:t>OCAK</w:t>
      </w:r>
      <w:r w:rsidR="00621CF3" w:rsidRPr="00D16AC6">
        <w:rPr>
          <w:rFonts w:ascii="Times New Roman" w:hAnsi="Times New Roman" w:cs="Times New Roman"/>
          <w:sz w:val="24"/>
          <w:szCs w:val="24"/>
        </w:rPr>
        <w:t xml:space="preserve"> – </w:t>
      </w:r>
      <w:r w:rsidR="006378F5">
        <w:rPr>
          <w:rFonts w:ascii="Times New Roman" w:hAnsi="Times New Roman" w:cs="Times New Roman"/>
          <w:sz w:val="24"/>
          <w:szCs w:val="24"/>
        </w:rPr>
        <w:t>30 HAZİRAN 2024</w:t>
      </w:r>
      <w:r w:rsidR="00621CF3" w:rsidRPr="00D16AC6">
        <w:rPr>
          <w:rFonts w:ascii="Times New Roman" w:hAnsi="Times New Roman" w:cs="Times New Roman"/>
          <w:sz w:val="24"/>
          <w:szCs w:val="24"/>
        </w:rPr>
        <w:t xml:space="preserve"> DÖNEMİNE AİT </w:t>
      </w:r>
    </w:p>
    <w:p w14:paraId="4EF210B8" w14:textId="77777777" w:rsidR="00621CF3" w:rsidRPr="00D16AC6" w:rsidRDefault="00621CF3" w:rsidP="00621CF3">
      <w:pPr>
        <w:spacing w:after="0"/>
        <w:jc w:val="center"/>
        <w:rPr>
          <w:rFonts w:ascii="Times New Roman" w:hAnsi="Times New Roman" w:cs="Times New Roman"/>
          <w:sz w:val="24"/>
          <w:szCs w:val="24"/>
        </w:rPr>
      </w:pPr>
      <w:r w:rsidRPr="00D16AC6">
        <w:rPr>
          <w:rFonts w:ascii="Times New Roman" w:hAnsi="Times New Roman" w:cs="Times New Roman"/>
          <w:sz w:val="24"/>
          <w:szCs w:val="24"/>
        </w:rPr>
        <w:t>PERFORMANS SUNU</w:t>
      </w:r>
      <w:r w:rsidR="008E46BF" w:rsidRPr="00D16AC6">
        <w:rPr>
          <w:rFonts w:ascii="Times New Roman" w:hAnsi="Times New Roman" w:cs="Times New Roman"/>
          <w:sz w:val="24"/>
          <w:szCs w:val="24"/>
        </w:rPr>
        <w:t>M</w:t>
      </w:r>
      <w:r w:rsidRPr="00D16AC6">
        <w:rPr>
          <w:rFonts w:ascii="Times New Roman" w:hAnsi="Times New Roman" w:cs="Times New Roman"/>
          <w:sz w:val="24"/>
          <w:szCs w:val="24"/>
        </w:rPr>
        <w:t xml:space="preserve"> RAPORU </w:t>
      </w:r>
    </w:p>
    <w:p w14:paraId="37783FFB" w14:textId="77777777" w:rsidR="00621CF3" w:rsidRPr="00D16AC6" w:rsidRDefault="00621CF3" w:rsidP="00621CF3">
      <w:pPr>
        <w:spacing w:after="0"/>
        <w:jc w:val="center"/>
        <w:rPr>
          <w:rFonts w:ascii="Times New Roman" w:hAnsi="Times New Roman" w:cs="Times New Roman"/>
          <w:sz w:val="24"/>
          <w:szCs w:val="24"/>
        </w:rPr>
      </w:pPr>
    </w:p>
    <w:p w14:paraId="1B3B518F" w14:textId="77777777" w:rsidR="00621CF3" w:rsidRPr="00D16AC6" w:rsidRDefault="00621CF3" w:rsidP="00621CF3">
      <w:pPr>
        <w:spacing w:after="0"/>
        <w:jc w:val="center"/>
        <w:rPr>
          <w:rFonts w:ascii="Times New Roman" w:hAnsi="Times New Roman" w:cs="Times New Roman"/>
          <w:sz w:val="24"/>
          <w:szCs w:val="24"/>
        </w:rPr>
      </w:pPr>
    </w:p>
    <w:p w14:paraId="4DB49877" w14:textId="77777777" w:rsidR="00621CF3" w:rsidRPr="00D16AC6" w:rsidRDefault="00621CF3" w:rsidP="00621CF3">
      <w:pPr>
        <w:spacing w:after="0"/>
        <w:jc w:val="center"/>
        <w:rPr>
          <w:rFonts w:ascii="Times New Roman" w:hAnsi="Times New Roman" w:cs="Times New Roman"/>
          <w:sz w:val="24"/>
          <w:szCs w:val="24"/>
        </w:rPr>
      </w:pPr>
    </w:p>
    <w:p w14:paraId="2449EBF1" w14:textId="77777777" w:rsidR="00621CF3" w:rsidRPr="00D16AC6" w:rsidRDefault="00621CF3" w:rsidP="00621CF3">
      <w:pPr>
        <w:spacing w:after="0"/>
        <w:jc w:val="center"/>
        <w:rPr>
          <w:rFonts w:ascii="Times New Roman" w:hAnsi="Times New Roman" w:cs="Times New Roman"/>
          <w:sz w:val="24"/>
          <w:szCs w:val="24"/>
        </w:rPr>
      </w:pPr>
    </w:p>
    <w:p w14:paraId="42ED46CE" w14:textId="77777777" w:rsidR="00621CF3" w:rsidRPr="00D16AC6" w:rsidRDefault="00621CF3" w:rsidP="00621CF3">
      <w:pPr>
        <w:spacing w:after="0"/>
        <w:jc w:val="center"/>
        <w:rPr>
          <w:rFonts w:ascii="Times New Roman" w:hAnsi="Times New Roman" w:cs="Times New Roman"/>
          <w:sz w:val="24"/>
          <w:szCs w:val="24"/>
        </w:rPr>
      </w:pPr>
    </w:p>
    <w:p w14:paraId="23C226E7" w14:textId="77777777" w:rsidR="00621CF3" w:rsidRPr="00D16AC6" w:rsidRDefault="00621CF3" w:rsidP="00621CF3">
      <w:pPr>
        <w:spacing w:after="0"/>
        <w:jc w:val="center"/>
        <w:rPr>
          <w:rFonts w:ascii="Times New Roman" w:hAnsi="Times New Roman" w:cs="Times New Roman"/>
          <w:sz w:val="24"/>
          <w:szCs w:val="24"/>
        </w:rPr>
      </w:pPr>
    </w:p>
    <w:p w14:paraId="6A5B2C21" w14:textId="77777777" w:rsidR="00621CF3" w:rsidRPr="00D16AC6" w:rsidRDefault="00621CF3" w:rsidP="00621CF3">
      <w:pPr>
        <w:spacing w:after="0"/>
        <w:jc w:val="center"/>
        <w:rPr>
          <w:rFonts w:ascii="Times New Roman" w:hAnsi="Times New Roman" w:cs="Times New Roman"/>
          <w:sz w:val="24"/>
          <w:szCs w:val="24"/>
        </w:rPr>
      </w:pPr>
    </w:p>
    <w:p w14:paraId="46B8E161" w14:textId="77777777" w:rsidR="00621CF3" w:rsidRPr="00D16AC6" w:rsidRDefault="00621CF3" w:rsidP="00621CF3">
      <w:pPr>
        <w:spacing w:after="0"/>
        <w:jc w:val="center"/>
        <w:rPr>
          <w:rFonts w:ascii="Times New Roman" w:hAnsi="Times New Roman" w:cs="Times New Roman"/>
          <w:sz w:val="24"/>
          <w:szCs w:val="24"/>
        </w:rPr>
      </w:pPr>
    </w:p>
    <w:p w14:paraId="3DAB1596" w14:textId="77777777" w:rsidR="00621CF3" w:rsidRPr="00D16AC6" w:rsidRDefault="00621CF3" w:rsidP="00621CF3">
      <w:pPr>
        <w:spacing w:after="0"/>
        <w:jc w:val="center"/>
        <w:rPr>
          <w:rFonts w:ascii="Times New Roman" w:hAnsi="Times New Roman" w:cs="Times New Roman"/>
          <w:sz w:val="24"/>
          <w:szCs w:val="24"/>
        </w:rPr>
      </w:pPr>
    </w:p>
    <w:p w14:paraId="6768030A" w14:textId="77777777" w:rsidR="00621CF3" w:rsidRPr="00D16AC6" w:rsidRDefault="00621CF3" w:rsidP="00621CF3">
      <w:pPr>
        <w:spacing w:after="0"/>
        <w:jc w:val="center"/>
        <w:rPr>
          <w:rFonts w:ascii="Times New Roman" w:hAnsi="Times New Roman" w:cs="Times New Roman"/>
          <w:sz w:val="24"/>
          <w:szCs w:val="24"/>
        </w:rPr>
      </w:pPr>
    </w:p>
    <w:p w14:paraId="1C4997E3" w14:textId="77777777" w:rsidR="00621CF3" w:rsidRPr="00D16AC6" w:rsidRDefault="00621CF3" w:rsidP="00621CF3">
      <w:pPr>
        <w:spacing w:after="0"/>
        <w:jc w:val="center"/>
        <w:rPr>
          <w:rFonts w:ascii="Times New Roman" w:hAnsi="Times New Roman" w:cs="Times New Roman"/>
          <w:sz w:val="24"/>
          <w:szCs w:val="24"/>
        </w:rPr>
      </w:pPr>
    </w:p>
    <w:p w14:paraId="4E549F9A" w14:textId="77777777" w:rsidR="00621CF3" w:rsidRPr="00D16AC6" w:rsidRDefault="00621CF3" w:rsidP="00621CF3">
      <w:pPr>
        <w:spacing w:after="0"/>
        <w:jc w:val="center"/>
        <w:rPr>
          <w:rFonts w:ascii="Times New Roman" w:hAnsi="Times New Roman" w:cs="Times New Roman"/>
          <w:sz w:val="24"/>
          <w:szCs w:val="24"/>
        </w:rPr>
      </w:pPr>
    </w:p>
    <w:p w14:paraId="1F7BC35E" w14:textId="77777777" w:rsidR="00621CF3" w:rsidRPr="00D16AC6" w:rsidRDefault="00621CF3" w:rsidP="00621CF3">
      <w:pPr>
        <w:spacing w:after="0"/>
        <w:jc w:val="center"/>
        <w:rPr>
          <w:rFonts w:ascii="Times New Roman" w:hAnsi="Times New Roman" w:cs="Times New Roman"/>
          <w:sz w:val="24"/>
          <w:szCs w:val="24"/>
        </w:rPr>
      </w:pPr>
    </w:p>
    <w:p w14:paraId="6A02C09E" w14:textId="77777777" w:rsidR="00621CF3" w:rsidRPr="00D16AC6" w:rsidRDefault="00621CF3" w:rsidP="00621CF3">
      <w:pPr>
        <w:spacing w:after="0"/>
        <w:jc w:val="center"/>
        <w:rPr>
          <w:rFonts w:ascii="Times New Roman" w:hAnsi="Times New Roman" w:cs="Times New Roman"/>
          <w:sz w:val="24"/>
          <w:szCs w:val="24"/>
        </w:rPr>
      </w:pPr>
    </w:p>
    <w:p w14:paraId="06A45494" w14:textId="77777777" w:rsidR="00621CF3" w:rsidRPr="00D16AC6" w:rsidRDefault="00621CF3" w:rsidP="00621CF3">
      <w:pPr>
        <w:spacing w:after="0"/>
        <w:jc w:val="center"/>
        <w:rPr>
          <w:rFonts w:ascii="Times New Roman" w:hAnsi="Times New Roman" w:cs="Times New Roman"/>
          <w:sz w:val="24"/>
          <w:szCs w:val="24"/>
        </w:rPr>
      </w:pPr>
    </w:p>
    <w:p w14:paraId="694D69CF" w14:textId="77777777" w:rsidR="00621CF3" w:rsidRPr="00D16AC6" w:rsidRDefault="00621CF3" w:rsidP="00621CF3">
      <w:pPr>
        <w:spacing w:after="0"/>
        <w:jc w:val="center"/>
        <w:rPr>
          <w:rFonts w:ascii="Times New Roman" w:hAnsi="Times New Roman" w:cs="Times New Roman"/>
          <w:sz w:val="24"/>
          <w:szCs w:val="24"/>
        </w:rPr>
      </w:pPr>
    </w:p>
    <w:p w14:paraId="59E1254E" w14:textId="77777777" w:rsidR="00621CF3" w:rsidRPr="00D16AC6" w:rsidRDefault="00621CF3" w:rsidP="00621CF3">
      <w:pPr>
        <w:spacing w:after="0"/>
        <w:jc w:val="center"/>
        <w:rPr>
          <w:rFonts w:ascii="Times New Roman" w:hAnsi="Times New Roman" w:cs="Times New Roman"/>
          <w:sz w:val="24"/>
          <w:szCs w:val="24"/>
        </w:rPr>
      </w:pPr>
    </w:p>
    <w:p w14:paraId="2D610BE3" w14:textId="77777777" w:rsidR="00621CF3" w:rsidRPr="00D16AC6" w:rsidRDefault="00621CF3" w:rsidP="00621CF3">
      <w:pPr>
        <w:spacing w:after="0"/>
        <w:jc w:val="center"/>
        <w:rPr>
          <w:rFonts w:ascii="Times New Roman" w:hAnsi="Times New Roman" w:cs="Times New Roman"/>
          <w:sz w:val="24"/>
          <w:szCs w:val="24"/>
        </w:rPr>
      </w:pPr>
    </w:p>
    <w:p w14:paraId="7F11C22D" w14:textId="77777777" w:rsidR="00621CF3" w:rsidRPr="00D16AC6" w:rsidRDefault="00621CF3" w:rsidP="00621CF3">
      <w:pPr>
        <w:spacing w:after="0"/>
        <w:jc w:val="center"/>
        <w:rPr>
          <w:rFonts w:ascii="Times New Roman" w:hAnsi="Times New Roman" w:cs="Times New Roman"/>
          <w:sz w:val="24"/>
          <w:szCs w:val="24"/>
        </w:rPr>
      </w:pPr>
    </w:p>
    <w:p w14:paraId="675339D2" w14:textId="77777777" w:rsidR="00621CF3" w:rsidRPr="00D16AC6" w:rsidRDefault="00621CF3" w:rsidP="00621CF3">
      <w:pPr>
        <w:spacing w:after="0"/>
        <w:jc w:val="center"/>
        <w:rPr>
          <w:rFonts w:ascii="Times New Roman" w:hAnsi="Times New Roman" w:cs="Times New Roman"/>
          <w:sz w:val="24"/>
          <w:szCs w:val="24"/>
        </w:rPr>
      </w:pPr>
    </w:p>
    <w:p w14:paraId="7EDE28B1" w14:textId="77777777" w:rsidR="00621CF3" w:rsidRPr="00D16AC6" w:rsidRDefault="00621CF3" w:rsidP="00621CF3">
      <w:pPr>
        <w:spacing w:after="0"/>
        <w:jc w:val="center"/>
        <w:rPr>
          <w:rFonts w:ascii="Times New Roman" w:hAnsi="Times New Roman" w:cs="Times New Roman"/>
          <w:sz w:val="24"/>
          <w:szCs w:val="24"/>
        </w:rPr>
      </w:pPr>
    </w:p>
    <w:p w14:paraId="2BCC14B9" w14:textId="77777777" w:rsidR="00621CF3" w:rsidRPr="00D16AC6" w:rsidRDefault="00621CF3" w:rsidP="00621CF3">
      <w:pPr>
        <w:spacing w:after="0"/>
        <w:jc w:val="center"/>
        <w:rPr>
          <w:rFonts w:ascii="Times New Roman" w:hAnsi="Times New Roman" w:cs="Times New Roman"/>
          <w:sz w:val="24"/>
          <w:szCs w:val="24"/>
        </w:rPr>
      </w:pPr>
    </w:p>
    <w:p w14:paraId="4F43D1F3" w14:textId="77777777" w:rsidR="00621CF3" w:rsidRPr="00D16AC6" w:rsidRDefault="00621CF3" w:rsidP="00621CF3">
      <w:pPr>
        <w:spacing w:after="0"/>
        <w:jc w:val="center"/>
        <w:rPr>
          <w:rFonts w:ascii="Times New Roman" w:hAnsi="Times New Roman" w:cs="Times New Roman"/>
          <w:sz w:val="24"/>
          <w:szCs w:val="24"/>
        </w:rPr>
      </w:pPr>
    </w:p>
    <w:p w14:paraId="77DA41D3" w14:textId="77777777" w:rsidR="00C95471" w:rsidRPr="00D16AC6" w:rsidRDefault="00C95471" w:rsidP="00621CF3">
      <w:pPr>
        <w:spacing w:after="0"/>
        <w:jc w:val="center"/>
        <w:rPr>
          <w:rFonts w:ascii="Times New Roman" w:hAnsi="Times New Roman" w:cs="Times New Roman"/>
          <w:sz w:val="24"/>
          <w:szCs w:val="24"/>
        </w:rPr>
      </w:pPr>
    </w:p>
    <w:p w14:paraId="0B1C20BC" w14:textId="77777777" w:rsidR="00621CF3" w:rsidRPr="00D16AC6" w:rsidRDefault="00621CF3" w:rsidP="00621CF3">
      <w:pPr>
        <w:spacing w:after="0"/>
        <w:jc w:val="center"/>
        <w:rPr>
          <w:rFonts w:ascii="Times New Roman" w:hAnsi="Times New Roman" w:cs="Times New Roman"/>
          <w:sz w:val="24"/>
          <w:szCs w:val="24"/>
        </w:rPr>
      </w:pPr>
    </w:p>
    <w:p w14:paraId="5120811F" w14:textId="77777777" w:rsidR="00621CF3" w:rsidRPr="00D16AC6" w:rsidRDefault="00621CF3" w:rsidP="00621CF3">
      <w:pPr>
        <w:spacing w:after="0"/>
        <w:jc w:val="center"/>
        <w:rPr>
          <w:rFonts w:ascii="Times New Roman" w:hAnsi="Times New Roman" w:cs="Times New Roman"/>
          <w:sz w:val="24"/>
          <w:szCs w:val="24"/>
        </w:rPr>
      </w:pPr>
    </w:p>
    <w:p w14:paraId="67065E46" w14:textId="77777777" w:rsidR="00621CF3" w:rsidRPr="00D16AC6" w:rsidRDefault="00621CF3" w:rsidP="00621CF3">
      <w:pPr>
        <w:spacing w:after="0"/>
        <w:jc w:val="center"/>
        <w:rPr>
          <w:rFonts w:ascii="Times New Roman" w:hAnsi="Times New Roman" w:cs="Times New Roman"/>
          <w:sz w:val="24"/>
          <w:szCs w:val="24"/>
        </w:rPr>
      </w:pPr>
    </w:p>
    <w:p w14:paraId="7A5B7F5D" w14:textId="77777777" w:rsidR="00621CF3" w:rsidRDefault="00621CF3" w:rsidP="00621CF3">
      <w:pPr>
        <w:spacing w:after="0"/>
        <w:jc w:val="center"/>
        <w:rPr>
          <w:rFonts w:ascii="Times New Roman" w:hAnsi="Times New Roman" w:cs="Times New Roman"/>
          <w:sz w:val="24"/>
          <w:szCs w:val="24"/>
        </w:rPr>
      </w:pPr>
    </w:p>
    <w:p w14:paraId="1AB9D291" w14:textId="77777777" w:rsidR="001D0BCB" w:rsidRDefault="001D0BCB" w:rsidP="00621CF3">
      <w:pPr>
        <w:spacing w:after="0"/>
        <w:jc w:val="center"/>
        <w:rPr>
          <w:rFonts w:ascii="Times New Roman" w:hAnsi="Times New Roman" w:cs="Times New Roman"/>
          <w:sz w:val="24"/>
          <w:szCs w:val="24"/>
        </w:rPr>
      </w:pPr>
    </w:p>
    <w:p w14:paraId="6FC99FF4" w14:textId="77777777" w:rsidR="001D0BCB" w:rsidRPr="00D16AC6" w:rsidRDefault="001D0BCB" w:rsidP="00621CF3">
      <w:pPr>
        <w:spacing w:after="0"/>
        <w:jc w:val="center"/>
        <w:rPr>
          <w:rFonts w:ascii="Times New Roman" w:hAnsi="Times New Roman" w:cs="Times New Roman"/>
          <w:sz w:val="24"/>
          <w:szCs w:val="24"/>
        </w:rPr>
      </w:pPr>
    </w:p>
    <w:p w14:paraId="23320E1F" w14:textId="77777777" w:rsidR="00621CF3" w:rsidRPr="00D16AC6" w:rsidRDefault="00621CF3" w:rsidP="00621CF3">
      <w:pPr>
        <w:spacing w:after="0"/>
        <w:jc w:val="center"/>
        <w:rPr>
          <w:rFonts w:ascii="Times New Roman" w:hAnsi="Times New Roman" w:cs="Times New Roman"/>
          <w:sz w:val="24"/>
          <w:szCs w:val="24"/>
        </w:rPr>
      </w:pPr>
    </w:p>
    <w:p w14:paraId="52546E23" w14:textId="77777777" w:rsidR="00621CF3" w:rsidRPr="00D16AC6" w:rsidRDefault="00621CF3" w:rsidP="00621CF3">
      <w:pPr>
        <w:spacing w:after="0"/>
        <w:jc w:val="center"/>
        <w:rPr>
          <w:rFonts w:ascii="Times New Roman" w:hAnsi="Times New Roman" w:cs="Times New Roman"/>
          <w:sz w:val="24"/>
          <w:szCs w:val="24"/>
        </w:rPr>
      </w:pPr>
    </w:p>
    <w:p w14:paraId="0C121B5F" w14:textId="77777777" w:rsidR="00621CF3" w:rsidRPr="00D16AC6" w:rsidRDefault="00621CF3" w:rsidP="00621CF3">
      <w:pPr>
        <w:pStyle w:val="ListeParagraf"/>
        <w:numPr>
          <w:ilvl w:val="0"/>
          <w:numId w:val="1"/>
        </w:numPr>
        <w:rPr>
          <w:rFonts w:ascii="Times New Roman" w:hAnsi="Times New Roman" w:cs="Times New Roman"/>
          <w:b/>
          <w:sz w:val="24"/>
          <w:szCs w:val="24"/>
        </w:rPr>
      </w:pPr>
      <w:r w:rsidRPr="00D16AC6">
        <w:rPr>
          <w:rFonts w:ascii="Times New Roman" w:hAnsi="Times New Roman" w:cs="Times New Roman"/>
          <w:b/>
          <w:sz w:val="24"/>
          <w:szCs w:val="24"/>
        </w:rPr>
        <w:t>TANITICI BİLGİLER</w:t>
      </w:r>
    </w:p>
    <w:tbl>
      <w:tblPr>
        <w:tblStyle w:val="TabloKlavuzu"/>
        <w:tblW w:w="0" w:type="auto"/>
        <w:tblLook w:val="04A0" w:firstRow="1" w:lastRow="0" w:firstColumn="1" w:lastColumn="0" w:noHBand="0" w:noVBand="1"/>
      </w:tblPr>
      <w:tblGrid>
        <w:gridCol w:w="2194"/>
        <w:gridCol w:w="1716"/>
        <w:gridCol w:w="5378"/>
      </w:tblGrid>
      <w:tr w:rsidR="001B1348" w:rsidRPr="00D16AC6" w14:paraId="6252986A" w14:textId="77777777" w:rsidTr="00B8551C">
        <w:tc>
          <w:tcPr>
            <w:tcW w:w="3910" w:type="dxa"/>
            <w:gridSpan w:val="2"/>
          </w:tcPr>
          <w:p w14:paraId="2DB0B925" w14:textId="77777777" w:rsidR="001B1348" w:rsidRPr="00D16AC6" w:rsidRDefault="001B1348" w:rsidP="001B1348">
            <w:pPr>
              <w:jc w:val="center"/>
              <w:rPr>
                <w:rFonts w:ascii="Times New Roman" w:hAnsi="Times New Roman" w:cs="Times New Roman"/>
                <w:b/>
                <w:sz w:val="24"/>
                <w:szCs w:val="24"/>
              </w:rPr>
            </w:pPr>
            <w:r w:rsidRPr="00D16AC6">
              <w:rPr>
                <w:rFonts w:ascii="Times New Roman" w:hAnsi="Times New Roman" w:cs="Times New Roman"/>
                <w:b/>
                <w:sz w:val="24"/>
                <w:szCs w:val="24"/>
              </w:rPr>
              <w:t>PORTFÖYE BAKIŞ</w:t>
            </w:r>
          </w:p>
          <w:p w14:paraId="6FBB8BAB" w14:textId="77777777" w:rsidR="001B1348" w:rsidRPr="00D16AC6" w:rsidRDefault="001B1348" w:rsidP="001B1348">
            <w:pPr>
              <w:jc w:val="center"/>
              <w:rPr>
                <w:rFonts w:ascii="Times New Roman" w:hAnsi="Times New Roman" w:cs="Times New Roman"/>
                <w:sz w:val="24"/>
                <w:szCs w:val="24"/>
              </w:rPr>
            </w:pPr>
            <w:r w:rsidRPr="00D16AC6">
              <w:rPr>
                <w:rFonts w:ascii="Times New Roman" w:hAnsi="Times New Roman" w:cs="Times New Roman"/>
                <w:sz w:val="24"/>
                <w:szCs w:val="24"/>
              </w:rPr>
              <w:t>Fon’un Halka Arz Tarihi:</w:t>
            </w:r>
          </w:p>
          <w:p w14:paraId="08EA070D" w14:textId="0379BE23" w:rsidR="001B1348" w:rsidRPr="00D16AC6" w:rsidRDefault="00DE66B3" w:rsidP="00DE66B3">
            <w:pPr>
              <w:jc w:val="center"/>
              <w:rPr>
                <w:rFonts w:ascii="Times New Roman" w:hAnsi="Times New Roman" w:cs="Times New Roman"/>
                <w:sz w:val="24"/>
                <w:szCs w:val="24"/>
              </w:rPr>
            </w:pPr>
            <w:r w:rsidRPr="00D16AC6">
              <w:rPr>
                <w:rFonts w:ascii="Times New Roman" w:hAnsi="Times New Roman" w:cs="Times New Roman"/>
                <w:sz w:val="24"/>
                <w:szCs w:val="24"/>
              </w:rPr>
              <w:t>2</w:t>
            </w:r>
            <w:r w:rsidR="00BC161B" w:rsidRPr="00D16AC6">
              <w:rPr>
                <w:rFonts w:ascii="Times New Roman" w:hAnsi="Times New Roman" w:cs="Times New Roman"/>
                <w:sz w:val="24"/>
                <w:szCs w:val="24"/>
              </w:rPr>
              <w:t>2</w:t>
            </w:r>
            <w:r w:rsidR="001B1348" w:rsidRPr="00D16AC6">
              <w:rPr>
                <w:rFonts w:ascii="Times New Roman" w:hAnsi="Times New Roman" w:cs="Times New Roman"/>
                <w:sz w:val="24"/>
                <w:szCs w:val="24"/>
              </w:rPr>
              <w:t xml:space="preserve"> </w:t>
            </w:r>
            <w:r w:rsidRPr="00D16AC6">
              <w:rPr>
                <w:rFonts w:ascii="Times New Roman" w:hAnsi="Times New Roman" w:cs="Times New Roman"/>
                <w:sz w:val="24"/>
                <w:szCs w:val="24"/>
              </w:rPr>
              <w:t xml:space="preserve">Ocak </w:t>
            </w:r>
            <w:r w:rsidR="001B1348" w:rsidRPr="00D16AC6">
              <w:rPr>
                <w:rFonts w:ascii="Times New Roman" w:hAnsi="Times New Roman" w:cs="Times New Roman"/>
                <w:sz w:val="24"/>
                <w:szCs w:val="24"/>
              </w:rPr>
              <w:t>201</w:t>
            </w:r>
            <w:r w:rsidRPr="00D16AC6">
              <w:rPr>
                <w:rFonts w:ascii="Times New Roman" w:hAnsi="Times New Roman" w:cs="Times New Roman"/>
                <w:sz w:val="24"/>
                <w:szCs w:val="24"/>
              </w:rPr>
              <w:t>8</w:t>
            </w:r>
          </w:p>
        </w:tc>
        <w:tc>
          <w:tcPr>
            <w:tcW w:w="5378" w:type="dxa"/>
          </w:tcPr>
          <w:p w14:paraId="151D2ECE" w14:textId="77777777" w:rsidR="001B1348" w:rsidRPr="00D16AC6" w:rsidRDefault="001B1348" w:rsidP="001B1348">
            <w:pPr>
              <w:jc w:val="center"/>
              <w:rPr>
                <w:rFonts w:ascii="Times New Roman" w:hAnsi="Times New Roman" w:cs="Times New Roman"/>
                <w:b/>
                <w:sz w:val="24"/>
                <w:szCs w:val="24"/>
              </w:rPr>
            </w:pPr>
          </w:p>
          <w:p w14:paraId="1B994757" w14:textId="77777777" w:rsidR="001B1348" w:rsidRPr="00D16AC6" w:rsidRDefault="001B1348" w:rsidP="001B1348">
            <w:pPr>
              <w:jc w:val="center"/>
              <w:rPr>
                <w:rFonts w:ascii="Times New Roman" w:hAnsi="Times New Roman" w:cs="Times New Roman"/>
                <w:b/>
                <w:sz w:val="24"/>
                <w:szCs w:val="24"/>
              </w:rPr>
            </w:pPr>
            <w:r w:rsidRPr="00D16AC6">
              <w:rPr>
                <w:rFonts w:ascii="Times New Roman" w:hAnsi="Times New Roman" w:cs="Times New Roman"/>
                <w:b/>
                <w:sz w:val="24"/>
                <w:szCs w:val="24"/>
              </w:rPr>
              <w:t>YATIRIM VE YÖNETİME İLİŞKİN BİLGİLER</w:t>
            </w:r>
          </w:p>
        </w:tc>
      </w:tr>
      <w:tr w:rsidR="001B1348" w:rsidRPr="00D16AC6" w14:paraId="30659837" w14:textId="77777777" w:rsidTr="00B8551C">
        <w:tc>
          <w:tcPr>
            <w:tcW w:w="3910" w:type="dxa"/>
            <w:gridSpan w:val="2"/>
          </w:tcPr>
          <w:p w14:paraId="15AE031C" w14:textId="79D8F768" w:rsidR="001B1348" w:rsidRPr="00D16AC6" w:rsidRDefault="006378F5" w:rsidP="008A28FF">
            <w:pPr>
              <w:jc w:val="center"/>
              <w:rPr>
                <w:rFonts w:ascii="Times New Roman" w:hAnsi="Times New Roman" w:cs="Times New Roman"/>
                <w:b/>
                <w:sz w:val="24"/>
                <w:szCs w:val="24"/>
              </w:rPr>
            </w:pPr>
            <w:r>
              <w:rPr>
                <w:rFonts w:ascii="Times New Roman" w:hAnsi="Times New Roman" w:cs="Times New Roman"/>
                <w:b/>
                <w:sz w:val="24"/>
                <w:szCs w:val="24"/>
              </w:rPr>
              <w:t>30 Haziran 2024</w:t>
            </w:r>
            <w:r w:rsidR="00411BC9" w:rsidRPr="00D16AC6">
              <w:rPr>
                <w:rFonts w:ascii="Times New Roman" w:hAnsi="Times New Roman" w:cs="Times New Roman"/>
                <w:b/>
                <w:sz w:val="24"/>
                <w:szCs w:val="24"/>
              </w:rPr>
              <w:t xml:space="preserve"> </w:t>
            </w:r>
            <w:r w:rsidR="0057332C" w:rsidRPr="00D16AC6">
              <w:rPr>
                <w:rFonts w:ascii="Times New Roman" w:hAnsi="Times New Roman" w:cs="Times New Roman"/>
                <w:b/>
                <w:sz w:val="24"/>
                <w:szCs w:val="24"/>
              </w:rPr>
              <w:t>i</w:t>
            </w:r>
            <w:r w:rsidR="001B1348" w:rsidRPr="00D16AC6">
              <w:rPr>
                <w:rFonts w:ascii="Times New Roman" w:hAnsi="Times New Roman" w:cs="Times New Roman"/>
                <w:b/>
                <w:sz w:val="24"/>
                <w:szCs w:val="24"/>
              </w:rPr>
              <w:t>tibar</w:t>
            </w:r>
            <w:r w:rsidR="003743AF" w:rsidRPr="00D16AC6">
              <w:rPr>
                <w:rFonts w:ascii="Times New Roman" w:hAnsi="Times New Roman" w:cs="Times New Roman"/>
                <w:b/>
                <w:sz w:val="24"/>
                <w:szCs w:val="24"/>
              </w:rPr>
              <w:t>iyle</w:t>
            </w:r>
          </w:p>
        </w:tc>
        <w:tc>
          <w:tcPr>
            <w:tcW w:w="5378" w:type="dxa"/>
          </w:tcPr>
          <w:p w14:paraId="4FBA1287" w14:textId="77777777" w:rsidR="001B1348" w:rsidRPr="00D16AC6" w:rsidRDefault="001B1348" w:rsidP="001B1348">
            <w:pPr>
              <w:jc w:val="center"/>
              <w:rPr>
                <w:rFonts w:ascii="Times New Roman" w:hAnsi="Times New Roman" w:cs="Times New Roman"/>
                <w:b/>
                <w:sz w:val="24"/>
                <w:szCs w:val="24"/>
              </w:rPr>
            </w:pPr>
            <w:r w:rsidRPr="00D16AC6">
              <w:rPr>
                <w:rFonts w:ascii="Times New Roman" w:hAnsi="Times New Roman" w:cs="Times New Roman"/>
                <w:b/>
                <w:sz w:val="24"/>
                <w:szCs w:val="24"/>
              </w:rPr>
              <w:t>Portföy Yöneticileri</w:t>
            </w:r>
          </w:p>
        </w:tc>
      </w:tr>
      <w:tr w:rsidR="001B1348" w:rsidRPr="00D16AC6" w14:paraId="358D1371" w14:textId="77777777" w:rsidTr="00B8551C">
        <w:tc>
          <w:tcPr>
            <w:tcW w:w="2194" w:type="dxa"/>
          </w:tcPr>
          <w:p w14:paraId="448D4149" w14:textId="77777777" w:rsidR="001B1348" w:rsidRPr="00D16AC6" w:rsidRDefault="001B1348" w:rsidP="00A05B08">
            <w:pPr>
              <w:rPr>
                <w:rFonts w:ascii="Times New Roman" w:hAnsi="Times New Roman" w:cs="Times New Roman"/>
                <w:sz w:val="24"/>
                <w:szCs w:val="24"/>
              </w:rPr>
            </w:pPr>
            <w:r w:rsidRPr="00D16AC6">
              <w:rPr>
                <w:rFonts w:ascii="Times New Roman" w:hAnsi="Times New Roman" w:cs="Times New Roman"/>
                <w:sz w:val="24"/>
                <w:szCs w:val="24"/>
              </w:rPr>
              <w:t>Fon Toplam Değeri</w:t>
            </w:r>
          </w:p>
        </w:tc>
        <w:tc>
          <w:tcPr>
            <w:tcW w:w="1716" w:type="dxa"/>
          </w:tcPr>
          <w:p w14:paraId="7A0E560C" w14:textId="16C34865" w:rsidR="001B1348" w:rsidRPr="00D16AC6" w:rsidRDefault="000728E6" w:rsidP="00454750">
            <w:pPr>
              <w:jc w:val="right"/>
              <w:rPr>
                <w:rFonts w:ascii="Times New Roman" w:hAnsi="Times New Roman" w:cs="Times New Roman"/>
                <w:sz w:val="24"/>
                <w:szCs w:val="24"/>
              </w:rPr>
            </w:pPr>
            <w:r w:rsidRPr="000728E6">
              <w:rPr>
                <w:rFonts w:ascii="Times New Roman" w:hAnsi="Times New Roman" w:cs="Times New Roman"/>
                <w:sz w:val="24"/>
                <w:szCs w:val="24"/>
              </w:rPr>
              <w:t>192.938.667,74</w:t>
            </w:r>
            <w:r w:rsidR="008A0109" w:rsidRPr="008A0109">
              <w:rPr>
                <w:rFonts w:ascii="Times New Roman" w:hAnsi="Times New Roman" w:cs="Times New Roman"/>
                <w:sz w:val="24"/>
                <w:szCs w:val="24"/>
              </w:rPr>
              <w:tab/>
            </w:r>
          </w:p>
        </w:tc>
        <w:tc>
          <w:tcPr>
            <w:tcW w:w="5378" w:type="dxa"/>
          </w:tcPr>
          <w:p w14:paraId="15AC7ED0" w14:textId="36C5B778" w:rsidR="001B1348" w:rsidRPr="00D16AC6" w:rsidRDefault="009525DA" w:rsidP="008A28FF">
            <w:pPr>
              <w:rPr>
                <w:rFonts w:ascii="Times New Roman" w:hAnsi="Times New Roman" w:cs="Times New Roman"/>
                <w:sz w:val="24"/>
                <w:szCs w:val="24"/>
              </w:rPr>
            </w:pPr>
            <w:r>
              <w:rPr>
                <w:rFonts w:ascii="Times New Roman" w:hAnsi="Times New Roman" w:cs="Times New Roman"/>
                <w:sz w:val="24"/>
                <w:szCs w:val="24"/>
              </w:rPr>
              <w:t>Niyazi Atasoy</w:t>
            </w:r>
          </w:p>
          <w:p w14:paraId="130803F9" w14:textId="1D35AF36" w:rsidR="00D916AD" w:rsidRPr="00D16AC6" w:rsidRDefault="009525DA" w:rsidP="008A28FF">
            <w:pPr>
              <w:rPr>
                <w:rFonts w:ascii="Times New Roman" w:hAnsi="Times New Roman" w:cs="Times New Roman"/>
                <w:sz w:val="24"/>
                <w:szCs w:val="24"/>
              </w:rPr>
            </w:pPr>
            <w:r>
              <w:rPr>
                <w:rFonts w:ascii="Times New Roman" w:hAnsi="Times New Roman" w:cs="Times New Roman"/>
                <w:sz w:val="24"/>
                <w:szCs w:val="24"/>
              </w:rPr>
              <w:t>Anıl Tokat</w:t>
            </w:r>
          </w:p>
        </w:tc>
      </w:tr>
      <w:tr w:rsidR="001B1348" w:rsidRPr="00D16AC6" w14:paraId="44E9624E" w14:textId="77777777" w:rsidTr="00B8551C">
        <w:tc>
          <w:tcPr>
            <w:tcW w:w="2194" w:type="dxa"/>
          </w:tcPr>
          <w:p w14:paraId="002FA16F" w14:textId="77777777" w:rsidR="001B1348" w:rsidRPr="00D16AC6" w:rsidRDefault="001B1348" w:rsidP="00A05B08">
            <w:pPr>
              <w:rPr>
                <w:rFonts w:ascii="Times New Roman" w:hAnsi="Times New Roman" w:cs="Times New Roman"/>
                <w:sz w:val="24"/>
                <w:szCs w:val="24"/>
              </w:rPr>
            </w:pPr>
            <w:r w:rsidRPr="00D16AC6">
              <w:rPr>
                <w:rFonts w:ascii="Times New Roman" w:hAnsi="Times New Roman" w:cs="Times New Roman"/>
                <w:sz w:val="24"/>
                <w:szCs w:val="24"/>
              </w:rPr>
              <w:t>Birim Pay Değeri</w:t>
            </w:r>
          </w:p>
        </w:tc>
        <w:tc>
          <w:tcPr>
            <w:tcW w:w="1716" w:type="dxa"/>
          </w:tcPr>
          <w:p w14:paraId="3E50C876" w14:textId="3704C1FF" w:rsidR="001B1348" w:rsidRPr="00D16AC6" w:rsidRDefault="000728E6" w:rsidP="00454750">
            <w:pPr>
              <w:jc w:val="right"/>
              <w:rPr>
                <w:rFonts w:ascii="Times New Roman" w:hAnsi="Times New Roman" w:cs="Times New Roman"/>
                <w:sz w:val="24"/>
                <w:szCs w:val="24"/>
              </w:rPr>
            </w:pPr>
            <w:r w:rsidRPr="000728E6">
              <w:rPr>
                <w:rFonts w:ascii="Times New Roman" w:hAnsi="Times New Roman" w:cs="Times New Roman"/>
                <w:sz w:val="24"/>
                <w:szCs w:val="24"/>
              </w:rPr>
              <w:t>18,866927</w:t>
            </w:r>
          </w:p>
        </w:tc>
        <w:tc>
          <w:tcPr>
            <w:tcW w:w="5378" w:type="dxa"/>
          </w:tcPr>
          <w:p w14:paraId="3C2725FE" w14:textId="77777777" w:rsidR="001B1348" w:rsidRPr="00D16AC6" w:rsidRDefault="003D66F7" w:rsidP="003D66F7">
            <w:pPr>
              <w:jc w:val="center"/>
              <w:rPr>
                <w:rFonts w:ascii="Times New Roman" w:hAnsi="Times New Roman" w:cs="Times New Roman"/>
                <w:b/>
                <w:sz w:val="24"/>
                <w:szCs w:val="24"/>
              </w:rPr>
            </w:pPr>
            <w:r w:rsidRPr="00D16AC6">
              <w:rPr>
                <w:rFonts w:ascii="Times New Roman" w:hAnsi="Times New Roman" w:cs="Times New Roman"/>
                <w:b/>
                <w:sz w:val="24"/>
                <w:szCs w:val="24"/>
              </w:rPr>
              <w:t>Fon’un Yatırım Amacı ve Stratejisi</w:t>
            </w:r>
          </w:p>
        </w:tc>
      </w:tr>
      <w:tr w:rsidR="00E50129" w:rsidRPr="00D16AC6" w14:paraId="6CF11FCB" w14:textId="77777777" w:rsidTr="00B8551C">
        <w:tc>
          <w:tcPr>
            <w:tcW w:w="2194" w:type="dxa"/>
          </w:tcPr>
          <w:p w14:paraId="486D2CCB" w14:textId="77777777" w:rsidR="00E50129" w:rsidRPr="00D16AC6" w:rsidRDefault="00E50129" w:rsidP="00A05B08">
            <w:pPr>
              <w:rPr>
                <w:rFonts w:ascii="Times New Roman" w:hAnsi="Times New Roman" w:cs="Times New Roman"/>
                <w:sz w:val="24"/>
                <w:szCs w:val="24"/>
              </w:rPr>
            </w:pPr>
            <w:r w:rsidRPr="00D16AC6">
              <w:rPr>
                <w:rFonts w:ascii="Times New Roman" w:hAnsi="Times New Roman" w:cs="Times New Roman"/>
                <w:sz w:val="24"/>
                <w:szCs w:val="24"/>
              </w:rPr>
              <w:t>Yatırımcı Sayısı</w:t>
            </w:r>
          </w:p>
        </w:tc>
        <w:tc>
          <w:tcPr>
            <w:tcW w:w="1716" w:type="dxa"/>
          </w:tcPr>
          <w:p w14:paraId="1F5C3526" w14:textId="77F84B92" w:rsidR="00E50129" w:rsidRPr="00D16AC6" w:rsidRDefault="006D5B60" w:rsidP="00454750">
            <w:pPr>
              <w:tabs>
                <w:tab w:val="center" w:pos="750"/>
                <w:tab w:val="right" w:pos="1500"/>
              </w:tabs>
              <w:jc w:val="right"/>
              <w:rPr>
                <w:rFonts w:ascii="Times New Roman" w:hAnsi="Times New Roman" w:cs="Times New Roman"/>
                <w:sz w:val="24"/>
                <w:szCs w:val="24"/>
              </w:rPr>
            </w:pPr>
            <w:r w:rsidRPr="00D16AC6">
              <w:rPr>
                <w:rFonts w:ascii="Times New Roman" w:hAnsi="Times New Roman" w:cs="Times New Roman"/>
                <w:sz w:val="24"/>
                <w:szCs w:val="24"/>
              </w:rPr>
              <w:tab/>
            </w:r>
            <w:r w:rsidR="00FE7D41">
              <w:rPr>
                <w:rFonts w:ascii="Times New Roman" w:hAnsi="Times New Roman" w:cs="Times New Roman"/>
                <w:sz w:val="24"/>
                <w:szCs w:val="24"/>
              </w:rPr>
              <w:t>1</w:t>
            </w:r>
            <w:r w:rsidR="008A0109">
              <w:rPr>
                <w:rFonts w:ascii="Times New Roman" w:hAnsi="Times New Roman" w:cs="Times New Roman"/>
                <w:sz w:val="24"/>
                <w:szCs w:val="24"/>
              </w:rPr>
              <w:t>0</w:t>
            </w:r>
          </w:p>
        </w:tc>
        <w:tc>
          <w:tcPr>
            <w:tcW w:w="5378" w:type="dxa"/>
            <w:vMerge w:val="restart"/>
          </w:tcPr>
          <w:p w14:paraId="2F6FBEA2" w14:textId="6D21C70D" w:rsidR="00E50129" w:rsidRPr="00D16AC6" w:rsidRDefault="00553667" w:rsidP="00E50129">
            <w:pPr>
              <w:jc w:val="both"/>
              <w:rPr>
                <w:rFonts w:ascii="Times New Roman" w:hAnsi="Times New Roman" w:cs="Times New Roman"/>
                <w:sz w:val="24"/>
                <w:szCs w:val="24"/>
              </w:rPr>
            </w:pPr>
            <w:r w:rsidRPr="00D16AC6">
              <w:rPr>
                <w:rFonts w:ascii="Times New Roman" w:hAnsi="Times New Roman" w:cs="Times New Roman"/>
              </w:rPr>
              <w:t xml:space="preserve">Fon toplam değerinin en az </w:t>
            </w:r>
            <w:proofErr w:type="gramStart"/>
            <w:r w:rsidRPr="00D16AC6">
              <w:rPr>
                <w:rFonts w:ascii="Times New Roman" w:hAnsi="Times New Roman" w:cs="Times New Roman"/>
              </w:rPr>
              <w:t>%80</w:t>
            </w:r>
            <w:proofErr w:type="gramEnd"/>
            <w:r w:rsidRPr="00D16AC6">
              <w:rPr>
                <w:rFonts w:ascii="Times New Roman" w:hAnsi="Times New Roman" w:cs="Times New Roman"/>
              </w:rPr>
              <w:t xml:space="preserve">’i devamlı olarak yerli ihraççıların ortaklık paylarına ve bu paylardan oluşan endeksleri takip etmek üzere kurulan yerli borsa yatırım fonları katılma paylarına yatırılır. Ayrıca Fon’un hisse senedi yoğun fon olması nedeniyle Fon portföy değerinin en az </w:t>
            </w:r>
            <w:proofErr w:type="gramStart"/>
            <w:r w:rsidRPr="00D16AC6">
              <w:rPr>
                <w:rFonts w:ascii="Times New Roman" w:hAnsi="Times New Roman" w:cs="Times New Roman"/>
              </w:rPr>
              <w:t>%80</w:t>
            </w:r>
            <w:proofErr w:type="gramEnd"/>
            <w:r w:rsidRPr="00D16AC6">
              <w:rPr>
                <w:rFonts w:ascii="Times New Roman" w:hAnsi="Times New Roman" w:cs="Times New Roman"/>
              </w:rPr>
              <w:t xml:space="preserve">’i devamlı olarak menkul kıymet yatırım ortaklıkları payları hariç olmak üzere </w:t>
            </w:r>
            <w:proofErr w:type="spellStart"/>
            <w:r w:rsidRPr="00D16AC6">
              <w:rPr>
                <w:rFonts w:ascii="Times New Roman" w:hAnsi="Times New Roman" w:cs="Times New Roman"/>
              </w:rPr>
              <w:t>BIST’te</w:t>
            </w:r>
            <w:proofErr w:type="spellEnd"/>
            <w:r w:rsidRPr="00D16AC6">
              <w:rPr>
                <w:rFonts w:ascii="Times New Roman" w:hAnsi="Times New Roman" w:cs="Times New Roman"/>
              </w:rPr>
              <w:t xml:space="preserve"> işlem gören ihraççı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w:t>
            </w:r>
            <w:proofErr w:type="spellStart"/>
            <w:r w:rsidRPr="00D16AC6">
              <w:rPr>
                <w:rFonts w:ascii="Times New Roman" w:hAnsi="Times New Roman" w:cs="Times New Roman"/>
              </w:rPr>
              <w:t>Gazete’de</w:t>
            </w:r>
            <w:proofErr w:type="spellEnd"/>
            <w:r w:rsidRPr="00D16AC6">
              <w:rPr>
                <w:rFonts w:ascii="Times New Roman" w:hAnsi="Times New Roman" w:cs="Times New Roman"/>
              </w:rPr>
              <w:t xml:space="preserve"> 7 yayımlanan (III-52.2) Borsa Yatırım Fonlarına İlişkin Esaslar Tebliği’nin 5 inci maddesinin dördüncü fıkrasının (a) bendi kapsamında takip etmek üzere kurulan borsa yatırım fonları katılma payları %80’lik oranın hesaplanmasına dahil edilir.</w:t>
            </w:r>
          </w:p>
        </w:tc>
      </w:tr>
      <w:tr w:rsidR="00E50129" w:rsidRPr="00D16AC6" w14:paraId="592869E8" w14:textId="77777777" w:rsidTr="00B8551C">
        <w:tc>
          <w:tcPr>
            <w:tcW w:w="2194" w:type="dxa"/>
          </w:tcPr>
          <w:p w14:paraId="795DB1DE" w14:textId="77777777" w:rsidR="00E50129" w:rsidRPr="00D16AC6" w:rsidRDefault="00E50129" w:rsidP="00A05B08">
            <w:pPr>
              <w:rPr>
                <w:rFonts w:ascii="Times New Roman" w:hAnsi="Times New Roman" w:cs="Times New Roman"/>
                <w:sz w:val="24"/>
                <w:szCs w:val="24"/>
              </w:rPr>
            </w:pPr>
            <w:r w:rsidRPr="00D16AC6">
              <w:rPr>
                <w:rFonts w:ascii="Times New Roman" w:hAnsi="Times New Roman" w:cs="Times New Roman"/>
                <w:sz w:val="24"/>
                <w:szCs w:val="24"/>
              </w:rPr>
              <w:t>Tedavül Oranı (%)</w:t>
            </w:r>
          </w:p>
        </w:tc>
        <w:tc>
          <w:tcPr>
            <w:tcW w:w="1716" w:type="dxa"/>
          </w:tcPr>
          <w:p w14:paraId="1A7D8D0F" w14:textId="5FFDB1A0" w:rsidR="00E50129" w:rsidRPr="00D16AC6" w:rsidRDefault="000728E6" w:rsidP="00454750">
            <w:pPr>
              <w:jc w:val="right"/>
              <w:rPr>
                <w:rFonts w:ascii="Times New Roman" w:hAnsi="Times New Roman" w:cs="Times New Roman"/>
                <w:sz w:val="24"/>
                <w:szCs w:val="24"/>
              </w:rPr>
            </w:pPr>
            <w:r>
              <w:rPr>
                <w:rFonts w:ascii="Times New Roman" w:hAnsi="Times New Roman" w:cs="Times New Roman"/>
                <w:sz w:val="24"/>
                <w:szCs w:val="24"/>
              </w:rPr>
              <w:t>10,23</w:t>
            </w:r>
          </w:p>
        </w:tc>
        <w:tc>
          <w:tcPr>
            <w:tcW w:w="5378" w:type="dxa"/>
            <w:vMerge/>
          </w:tcPr>
          <w:p w14:paraId="5D993238" w14:textId="77777777" w:rsidR="00E50129" w:rsidRPr="00D16AC6" w:rsidRDefault="00E50129" w:rsidP="00E50129">
            <w:pPr>
              <w:jc w:val="both"/>
              <w:rPr>
                <w:rFonts w:ascii="Times New Roman" w:hAnsi="Times New Roman" w:cs="Times New Roman"/>
                <w:sz w:val="24"/>
                <w:szCs w:val="24"/>
              </w:rPr>
            </w:pPr>
          </w:p>
        </w:tc>
      </w:tr>
      <w:tr w:rsidR="00E50129" w:rsidRPr="00D16AC6" w14:paraId="03F43130" w14:textId="77777777" w:rsidTr="00B8551C">
        <w:tc>
          <w:tcPr>
            <w:tcW w:w="3910" w:type="dxa"/>
            <w:gridSpan w:val="2"/>
          </w:tcPr>
          <w:p w14:paraId="7E73C1C5" w14:textId="77777777" w:rsidR="00E50129" w:rsidRPr="00D16AC6" w:rsidRDefault="00E50129" w:rsidP="003D66F7">
            <w:pPr>
              <w:jc w:val="center"/>
              <w:rPr>
                <w:rFonts w:ascii="Times New Roman" w:hAnsi="Times New Roman" w:cs="Times New Roman"/>
                <w:b/>
                <w:sz w:val="24"/>
                <w:szCs w:val="24"/>
              </w:rPr>
            </w:pPr>
            <w:r w:rsidRPr="00D16AC6">
              <w:rPr>
                <w:rFonts w:ascii="Times New Roman" w:hAnsi="Times New Roman" w:cs="Times New Roman"/>
                <w:b/>
                <w:sz w:val="24"/>
                <w:szCs w:val="24"/>
              </w:rPr>
              <w:t>Portföy Dağılımı (%)</w:t>
            </w:r>
          </w:p>
        </w:tc>
        <w:tc>
          <w:tcPr>
            <w:tcW w:w="5378" w:type="dxa"/>
            <w:vMerge/>
          </w:tcPr>
          <w:p w14:paraId="39DD9043" w14:textId="77777777" w:rsidR="00E50129" w:rsidRPr="00D16AC6" w:rsidRDefault="00E50129" w:rsidP="00E50129">
            <w:pPr>
              <w:jc w:val="both"/>
              <w:rPr>
                <w:rFonts w:ascii="Times New Roman" w:hAnsi="Times New Roman" w:cs="Times New Roman"/>
                <w:sz w:val="24"/>
                <w:szCs w:val="24"/>
              </w:rPr>
            </w:pPr>
          </w:p>
        </w:tc>
      </w:tr>
      <w:tr w:rsidR="00E50129" w:rsidRPr="00D16AC6" w14:paraId="7F4FC37D" w14:textId="77777777" w:rsidTr="00B8551C">
        <w:tc>
          <w:tcPr>
            <w:tcW w:w="2194" w:type="dxa"/>
            <w:tcBorders>
              <w:bottom w:val="single" w:sz="4" w:space="0" w:color="auto"/>
            </w:tcBorders>
          </w:tcPr>
          <w:p w14:paraId="4A0F9F8E" w14:textId="77777777" w:rsidR="00E50129" w:rsidRPr="00D16AC6" w:rsidRDefault="00E50129" w:rsidP="00A05B08">
            <w:pPr>
              <w:rPr>
                <w:rFonts w:ascii="Times New Roman" w:hAnsi="Times New Roman" w:cs="Times New Roman"/>
                <w:sz w:val="24"/>
                <w:szCs w:val="24"/>
              </w:rPr>
            </w:pPr>
            <w:r w:rsidRPr="00D16AC6">
              <w:rPr>
                <w:rFonts w:ascii="Times New Roman" w:hAnsi="Times New Roman" w:cs="Times New Roman"/>
                <w:sz w:val="24"/>
                <w:szCs w:val="24"/>
              </w:rPr>
              <w:t>Paylar</w:t>
            </w:r>
          </w:p>
        </w:tc>
        <w:tc>
          <w:tcPr>
            <w:tcW w:w="1716" w:type="dxa"/>
            <w:tcBorders>
              <w:bottom w:val="single" w:sz="4" w:space="0" w:color="auto"/>
            </w:tcBorders>
          </w:tcPr>
          <w:p w14:paraId="5468EF5D" w14:textId="5053414F" w:rsidR="00E50129" w:rsidRPr="00D16AC6" w:rsidRDefault="00FE7D41" w:rsidP="00454750">
            <w:pPr>
              <w:jc w:val="right"/>
              <w:rPr>
                <w:rFonts w:ascii="Times New Roman" w:hAnsi="Times New Roman" w:cs="Times New Roman"/>
                <w:sz w:val="24"/>
                <w:szCs w:val="24"/>
              </w:rPr>
            </w:pPr>
            <w:r>
              <w:rPr>
                <w:rFonts w:ascii="Times New Roman" w:hAnsi="Times New Roman" w:cs="Times New Roman"/>
                <w:sz w:val="24"/>
                <w:szCs w:val="24"/>
              </w:rPr>
              <w:t>9</w:t>
            </w:r>
            <w:r w:rsidR="000728E6">
              <w:rPr>
                <w:rFonts w:ascii="Times New Roman" w:hAnsi="Times New Roman" w:cs="Times New Roman"/>
                <w:sz w:val="24"/>
                <w:szCs w:val="24"/>
              </w:rPr>
              <w:t>0,22</w:t>
            </w:r>
          </w:p>
        </w:tc>
        <w:tc>
          <w:tcPr>
            <w:tcW w:w="5378" w:type="dxa"/>
            <w:vMerge/>
          </w:tcPr>
          <w:p w14:paraId="58B3A863" w14:textId="77777777" w:rsidR="00E50129" w:rsidRPr="00D16AC6" w:rsidRDefault="00E50129" w:rsidP="00A05B08">
            <w:pPr>
              <w:rPr>
                <w:rFonts w:ascii="Times New Roman" w:hAnsi="Times New Roman" w:cs="Times New Roman"/>
                <w:sz w:val="24"/>
                <w:szCs w:val="24"/>
              </w:rPr>
            </w:pPr>
          </w:p>
        </w:tc>
      </w:tr>
      <w:tr w:rsidR="005D76A5" w:rsidRPr="00D16AC6" w14:paraId="28306B56" w14:textId="77777777" w:rsidTr="00B8551C">
        <w:tc>
          <w:tcPr>
            <w:tcW w:w="2194" w:type="dxa"/>
            <w:tcBorders>
              <w:bottom w:val="single" w:sz="4" w:space="0" w:color="auto"/>
            </w:tcBorders>
          </w:tcPr>
          <w:p w14:paraId="1BB0EA4F" w14:textId="2FDDCAF5" w:rsidR="005D76A5" w:rsidRPr="00D16AC6" w:rsidRDefault="00E52F2D" w:rsidP="00A05B08">
            <w:pPr>
              <w:rPr>
                <w:rFonts w:ascii="Times New Roman" w:hAnsi="Times New Roman" w:cs="Times New Roman"/>
                <w:sz w:val="24"/>
                <w:szCs w:val="24"/>
              </w:rPr>
            </w:pPr>
            <w:proofErr w:type="spellStart"/>
            <w:r w:rsidRPr="00D16AC6">
              <w:rPr>
                <w:rFonts w:ascii="Times New Roman" w:hAnsi="Times New Roman" w:cs="Times New Roman"/>
                <w:sz w:val="24"/>
                <w:szCs w:val="24"/>
              </w:rPr>
              <w:t>Viop</w:t>
            </w:r>
            <w:proofErr w:type="spellEnd"/>
            <w:r w:rsidRPr="00D16AC6">
              <w:rPr>
                <w:rFonts w:ascii="Times New Roman" w:hAnsi="Times New Roman" w:cs="Times New Roman"/>
                <w:sz w:val="24"/>
                <w:szCs w:val="24"/>
              </w:rPr>
              <w:t xml:space="preserve"> Nakit Teminat</w:t>
            </w:r>
          </w:p>
        </w:tc>
        <w:tc>
          <w:tcPr>
            <w:tcW w:w="1716" w:type="dxa"/>
            <w:tcBorders>
              <w:bottom w:val="single" w:sz="4" w:space="0" w:color="auto"/>
            </w:tcBorders>
          </w:tcPr>
          <w:p w14:paraId="6D199C95" w14:textId="6E1DBACE" w:rsidR="005D76A5" w:rsidRPr="00D16AC6" w:rsidRDefault="000728E6" w:rsidP="00454750">
            <w:pPr>
              <w:jc w:val="right"/>
              <w:rPr>
                <w:rFonts w:ascii="Times New Roman" w:hAnsi="Times New Roman" w:cs="Times New Roman"/>
                <w:sz w:val="24"/>
                <w:szCs w:val="24"/>
              </w:rPr>
            </w:pPr>
            <w:r>
              <w:rPr>
                <w:rFonts w:ascii="Times New Roman" w:hAnsi="Times New Roman" w:cs="Times New Roman"/>
                <w:sz w:val="24"/>
                <w:szCs w:val="24"/>
              </w:rPr>
              <w:t>9,34</w:t>
            </w:r>
          </w:p>
        </w:tc>
        <w:tc>
          <w:tcPr>
            <w:tcW w:w="5378" w:type="dxa"/>
            <w:vMerge/>
          </w:tcPr>
          <w:p w14:paraId="0A98EFB3" w14:textId="77777777" w:rsidR="005D76A5" w:rsidRPr="00D16AC6" w:rsidRDefault="005D76A5" w:rsidP="00A05B08">
            <w:pPr>
              <w:rPr>
                <w:rFonts w:ascii="Times New Roman" w:hAnsi="Times New Roman" w:cs="Times New Roman"/>
                <w:sz w:val="24"/>
                <w:szCs w:val="24"/>
              </w:rPr>
            </w:pPr>
          </w:p>
        </w:tc>
      </w:tr>
      <w:tr w:rsidR="00E50129" w:rsidRPr="00D16AC6" w14:paraId="3AAD513A" w14:textId="77777777" w:rsidTr="00B8551C">
        <w:tc>
          <w:tcPr>
            <w:tcW w:w="2194" w:type="dxa"/>
            <w:tcBorders>
              <w:bottom w:val="single" w:sz="4" w:space="0" w:color="auto"/>
            </w:tcBorders>
          </w:tcPr>
          <w:p w14:paraId="320B9756" w14:textId="77777777" w:rsidR="00E50129" w:rsidRPr="00D16AC6" w:rsidRDefault="00E50129" w:rsidP="00A05B08">
            <w:pPr>
              <w:rPr>
                <w:rFonts w:ascii="Times New Roman" w:hAnsi="Times New Roman" w:cs="Times New Roman"/>
                <w:sz w:val="24"/>
                <w:szCs w:val="24"/>
              </w:rPr>
            </w:pPr>
            <w:r w:rsidRPr="00D16AC6">
              <w:rPr>
                <w:rFonts w:ascii="Times New Roman" w:hAnsi="Times New Roman" w:cs="Times New Roman"/>
                <w:sz w:val="24"/>
                <w:szCs w:val="24"/>
              </w:rPr>
              <w:t>Mevduat</w:t>
            </w:r>
          </w:p>
        </w:tc>
        <w:tc>
          <w:tcPr>
            <w:tcW w:w="1716" w:type="dxa"/>
            <w:tcBorders>
              <w:bottom w:val="single" w:sz="4" w:space="0" w:color="auto"/>
            </w:tcBorders>
          </w:tcPr>
          <w:p w14:paraId="01B97AB7" w14:textId="72A2F1FC" w:rsidR="00E50129" w:rsidRPr="00D16AC6" w:rsidRDefault="00FE7D41" w:rsidP="00454750">
            <w:pPr>
              <w:jc w:val="right"/>
              <w:rPr>
                <w:rFonts w:ascii="Times New Roman" w:hAnsi="Times New Roman" w:cs="Times New Roman"/>
                <w:sz w:val="24"/>
                <w:szCs w:val="24"/>
              </w:rPr>
            </w:pPr>
            <w:r>
              <w:rPr>
                <w:rFonts w:ascii="Times New Roman" w:hAnsi="Times New Roman" w:cs="Times New Roman"/>
                <w:sz w:val="24"/>
                <w:szCs w:val="24"/>
              </w:rPr>
              <w:t>0,</w:t>
            </w:r>
            <w:r w:rsidR="000728E6">
              <w:rPr>
                <w:rFonts w:ascii="Times New Roman" w:hAnsi="Times New Roman" w:cs="Times New Roman"/>
                <w:sz w:val="24"/>
                <w:szCs w:val="24"/>
              </w:rPr>
              <w:t>44</w:t>
            </w:r>
          </w:p>
        </w:tc>
        <w:tc>
          <w:tcPr>
            <w:tcW w:w="5378" w:type="dxa"/>
            <w:vMerge/>
          </w:tcPr>
          <w:p w14:paraId="43A561FF" w14:textId="77777777" w:rsidR="00E50129" w:rsidRPr="00D16AC6" w:rsidRDefault="00E50129" w:rsidP="00A05B08">
            <w:pPr>
              <w:rPr>
                <w:rFonts w:ascii="Times New Roman" w:hAnsi="Times New Roman" w:cs="Times New Roman"/>
                <w:sz w:val="24"/>
                <w:szCs w:val="24"/>
              </w:rPr>
            </w:pPr>
          </w:p>
        </w:tc>
      </w:tr>
      <w:tr w:rsidR="00E50129" w:rsidRPr="00D16AC6" w14:paraId="2F0263FD" w14:textId="77777777" w:rsidTr="00B8551C">
        <w:trPr>
          <w:trHeight w:val="631"/>
        </w:trPr>
        <w:tc>
          <w:tcPr>
            <w:tcW w:w="2194" w:type="dxa"/>
            <w:tcBorders>
              <w:top w:val="nil"/>
              <w:left w:val="single" w:sz="4" w:space="0" w:color="auto"/>
              <w:bottom w:val="single" w:sz="4" w:space="0" w:color="auto"/>
              <w:right w:val="nil"/>
            </w:tcBorders>
          </w:tcPr>
          <w:p w14:paraId="5E2AE3FF" w14:textId="77777777" w:rsidR="00E50129" w:rsidRPr="00D16AC6" w:rsidRDefault="00E50129" w:rsidP="00A05B08">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2E799E8E" w14:textId="77777777" w:rsidR="00E50129" w:rsidRPr="00D16AC6" w:rsidRDefault="00E50129" w:rsidP="005D76A5">
            <w:pPr>
              <w:jc w:val="center"/>
              <w:rPr>
                <w:rFonts w:ascii="Times New Roman" w:hAnsi="Times New Roman" w:cs="Times New Roman"/>
                <w:sz w:val="24"/>
                <w:szCs w:val="24"/>
              </w:rPr>
            </w:pPr>
          </w:p>
        </w:tc>
        <w:tc>
          <w:tcPr>
            <w:tcW w:w="5378" w:type="dxa"/>
            <w:vMerge/>
            <w:tcBorders>
              <w:left w:val="single" w:sz="4" w:space="0" w:color="auto"/>
            </w:tcBorders>
          </w:tcPr>
          <w:p w14:paraId="0AC47D2A" w14:textId="77777777" w:rsidR="00E50129" w:rsidRPr="00D16AC6" w:rsidRDefault="00E50129" w:rsidP="00A05B08">
            <w:pPr>
              <w:rPr>
                <w:rFonts w:ascii="Times New Roman" w:hAnsi="Times New Roman" w:cs="Times New Roman"/>
                <w:sz w:val="24"/>
                <w:szCs w:val="24"/>
              </w:rPr>
            </w:pPr>
          </w:p>
        </w:tc>
      </w:tr>
      <w:tr w:rsidR="00D52CC0" w:rsidRPr="00D16AC6" w14:paraId="0CD11CF4" w14:textId="77777777" w:rsidTr="00B8551C">
        <w:trPr>
          <w:trHeight w:val="384"/>
        </w:trPr>
        <w:tc>
          <w:tcPr>
            <w:tcW w:w="9288" w:type="dxa"/>
            <w:gridSpan w:val="3"/>
          </w:tcPr>
          <w:p w14:paraId="09C2AF70" w14:textId="636FDE3D" w:rsidR="00D52CC0" w:rsidRPr="00D16AC6" w:rsidRDefault="00D52CC0" w:rsidP="00D52CC0">
            <w:pPr>
              <w:jc w:val="center"/>
              <w:rPr>
                <w:rFonts w:ascii="Times New Roman" w:hAnsi="Times New Roman" w:cs="Times New Roman"/>
                <w:sz w:val="24"/>
                <w:szCs w:val="24"/>
              </w:rPr>
            </w:pPr>
            <w:r w:rsidRPr="00D16AC6">
              <w:rPr>
                <w:rFonts w:ascii="Times New Roman" w:hAnsi="Times New Roman" w:cs="Times New Roman"/>
                <w:sz w:val="24"/>
                <w:szCs w:val="24"/>
              </w:rPr>
              <w:t xml:space="preserve">En Az Alınabilir Pay </w:t>
            </w:r>
            <w:r w:rsidR="004437E7" w:rsidRPr="00D16AC6">
              <w:rPr>
                <w:rFonts w:ascii="Times New Roman" w:hAnsi="Times New Roman" w:cs="Times New Roman"/>
                <w:sz w:val="24"/>
                <w:szCs w:val="24"/>
              </w:rPr>
              <w:t>Adedi:</w:t>
            </w:r>
            <w:r w:rsidRPr="00D16AC6">
              <w:rPr>
                <w:rFonts w:ascii="Times New Roman" w:hAnsi="Times New Roman" w:cs="Times New Roman"/>
                <w:sz w:val="24"/>
                <w:szCs w:val="24"/>
              </w:rPr>
              <w:t xml:space="preserve"> 1 Adet</w:t>
            </w:r>
          </w:p>
        </w:tc>
      </w:tr>
    </w:tbl>
    <w:p w14:paraId="231D92BC" w14:textId="6A99DDE2" w:rsidR="00621CF3" w:rsidRPr="00D16AC6" w:rsidRDefault="00621CF3" w:rsidP="005B7773">
      <w:pPr>
        <w:spacing w:after="0"/>
        <w:rPr>
          <w:rFonts w:ascii="Times New Roman" w:hAnsi="Times New Roman" w:cs="Times New Roman"/>
          <w:sz w:val="24"/>
          <w:szCs w:val="24"/>
        </w:rPr>
      </w:pPr>
    </w:p>
    <w:p w14:paraId="61F661E1" w14:textId="77777777" w:rsidR="00973E09" w:rsidRPr="00D16AC6" w:rsidRDefault="00973E09" w:rsidP="00973E09">
      <w:pPr>
        <w:pStyle w:val="ListeParagraf"/>
        <w:numPr>
          <w:ilvl w:val="0"/>
          <w:numId w:val="1"/>
        </w:numPr>
        <w:rPr>
          <w:rFonts w:ascii="Times New Roman" w:hAnsi="Times New Roman" w:cs="Times New Roman"/>
          <w:b/>
          <w:sz w:val="24"/>
          <w:szCs w:val="24"/>
        </w:rPr>
      </w:pPr>
      <w:r w:rsidRPr="00D16AC6">
        <w:rPr>
          <w:rFonts w:ascii="Times New Roman" w:hAnsi="Times New Roman" w:cs="Times New Roman"/>
          <w:b/>
          <w:sz w:val="24"/>
          <w:szCs w:val="24"/>
        </w:rPr>
        <w:t>PERFORMANS BİLGİSİ</w:t>
      </w:r>
    </w:p>
    <w:tbl>
      <w:tblPr>
        <w:tblW w:w="10140" w:type="dxa"/>
        <w:tblInd w:w="75" w:type="dxa"/>
        <w:tblCellMar>
          <w:left w:w="70" w:type="dxa"/>
          <w:right w:w="70" w:type="dxa"/>
        </w:tblCellMar>
        <w:tblLook w:val="04A0" w:firstRow="1" w:lastRow="0" w:firstColumn="1" w:lastColumn="0" w:noHBand="0" w:noVBand="1"/>
      </w:tblPr>
      <w:tblGrid>
        <w:gridCol w:w="890"/>
        <w:gridCol w:w="865"/>
        <w:gridCol w:w="1557"/>
        <w:gridCol w:w="1238"/>
        <w:gridCol w:w="1703"/>
        <w:gridCol w:w="1424"/>
        <w:gridCol w:w="865"/>
        <w:gridCol w:w="1703"/>
      </w:tblGrid>
      <w:tr w:rsidR="00DE2258" w:rsidRPr="00DE2258" w14:paraId="3E42775F" w14:textId="77777777" w:rsidTr="00DE2258">
        <w:trPr>
          <w:trHeight w:val="469"/>
        </w:trPr>
        <w:tc>
          <w:tcPr>
            <w:tcW w:w="7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B7E01"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Yıllar</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5B4DD70F"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Toplam Getiri (%)</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54404D77"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Karşılaştırma Ölçütünün Getirisi/Eşik Değer (%) (*)</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1E8A11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proofErr w:type="spellStart"/>
            <w:r w:rsidRPr="00DE2258">
              <w:rPr>
                <w:rFonts w:ascii="Times New Roman" w:eastAsia="Times New Roman" w:hAnsi="Times New Roman" w:cs="Times New Roman"/>
                <w:b/>
                <w:bCs/>
                <w:color w:val="000000"/>
                <w:sz w:val="18"/>
                <w:szCs w:val="18"/>
                <w:lang w:eastAsia="tr-TR"/>
              </w:rPr>
              <w:t>Üfe</w:t>
            </w:r>
            <w:proofErr w:type="spellEnd"/>
            <w:r w:rsidRPr="00DE2258">
              <w:rPr>
                <w:rFonts w:ascii="Times New Roman" w:eastAsia="Times New Roman" w:hAnsi="Times New Roman" w:cs="Times New Roman"/>
                <w:b/>
                <w:bCs/>
                <w:color w:val="000000"/>
                <w:sz w:val="18"/>
                <w:szCs w:val="18"/>
                <w:lang w:eastAsia="tr-TR"/>
              </w:rPr>
              <w:t xml:space="preserve"> Enflasyon Oranı (%) (**)</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1479383E"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Portföyün Zaman İçinde Standart Sapması (%)</w:t>
            </w:r>
          </w:p>
        </w:tc>
        <w:tc>
          <w:tcPr>
            <w:tcW w:w="1424" w:type="dxa"/>
            <w:tcBorders>
              <w:top w:val="single" w:sz="4" w:space="0" w:color="auto"/>
              <w:left w:val="nil"/>
              <w:bottom w:val="single" w:sz="4" w:space="0" w:color="auto"/>
              <w:right w:val="single" w:sz="4" w:space="0" w:color="auto"/>
            </w:tcBorders>
            <w:shd w:val="clear" w:color="auto" w:fill="auto"/>
            <w:vAlign w:val="center"/>
            <w:hideMark/>
          </w:tcPr>
          <w:p w14:paraId="096F552E"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Karşılaştırma Ölçütünün Standart Sapması (%)</w:t>
            </w:r>
          </w:p>
        </w:tc>
        <w:tc>
          <w:tcPr>
            <w:tcW w:w="865" w:type="dxa"/>
            <w:tcBorders>
              <w:top w:val="single" w:sz="4" w:space="0" w:color="auto"/>
              <w:left w:val="nil"/>
              <w:bottom w:val="single" w:sz="4" w:space="0" w:color="auto"/>
              <w:right w:val="single" w:sz="4" w:space="0" w:color="auto"/>
            </w:tcBorders>
            <w:shd w:val="clear" w:color="auto" w:fill="auto"/>
            <w:vAlign w:val="center"/>
            <w:hideMark/>
          </w:tcPr>
          <w:p w14:paraId="0F237119"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Bilgi Rasyosu</w:t>
            </w:r>
          </w:p>
        </w:tc>
        <w:tc>
          <w:tcPr>
            <w:tcW w:w="1703" w:type="dxa"/>
            <w:tcBorders>
              <w:top w:val="single" w:sz="4" w:space="0" w:color="auto"/>
              <w:left w:val="nil"/>
              <w:bottom w:val="single" w:sz="4" w:space="0" w:color="auto"/>
              <w:right w:val="single" w:sz="4" w:space="0" w:color="auto"/>
            </w:tcBorders>
            <w:shd w:val="clear" w:color="auto" w:fill="auto"/>
            <w:vAlign w:val="center"/>
            <w:hideMark/>
          </w:tcPr>
          <w:p w14:paraId="5DB6861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Sunuma Dahil Dönem Sonu Portföyün Toplam Değer</w:t>
            </w:r>
          </w:p>
        </w:tc>
      </w:tr>
      <w:tr w:rsidR="00DE2258" w:rsidRPr="00DE2258" w14:paraId="568E7064"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6EA43A4"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2018</w:t>
            </w:r>
          </w:p>
        </w:tc>
        <w:tc>
          <w:tcPr>
            <w:tcW w:w="865" w:type="dxa"/>
            <w:tcBorders>
              <w:top w:val="nil"/>
              <w:left w:val="nil"/>
              <w:bottom w:val="single" w:sz="4" w:space="0" w:color="auto"/>
              <w:right w:val="single" w:sz="4" w:space="0" w:color="auto"/>
            </w:tcBorders>
            <w:shd w:val="clear" w:color="auto" w:fill="auto"/>
            <w:noWrap/>
            <w:vAlign w:val="center"/>
            <w:hideMark/>
          </w:tcPr>
          <w:p w14:paraId="3431B309"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101,78</w:t>
            </w:r>
          </w:p>
        </w:tc>
        <w:tc>
          <w:tcPr>
            <w:tcW w:w="1557" w:type="dxa"/>
            <w:tcBorders>
              <w:top w:val="nil"/>
              <w:left w:val="nil"/>
              <w:bottom w:val="single" w:sz="4" w:space="0" w:color="auto"/>
              <w:right w:val="single" w:sz="4" w:space="0" w:color="auto"/>
            </w:tcBorders>
            <w:shd w:val="clear" w:color="auto" w:fill="auto"/>
            <w:noWrap/>
            <w:vAlign w:val="center"/>
            <w:hideMark/>
          </w:tcPr>
          <w:p w14:paraId="71AE2C8B"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6,00</w:t>
            </w:r>
          </w:p>
        </w:tc>
        <w:tc>
          <w:tcPr>
            <w:tcW w:w="1238" w:type="dxa"/>
            <w:tcBorders>
              <w:top w:val="nil"/>
              <w:left w:val="nil"/>
              <w:bottom w:val="single" w:sz="4" w:space="0" w:color="auto"/>
              <w:right w:val="single" w:sz="4" w:space="0" w:color="auto"/>
            </w:tcBorders>
            <w:shd w:val="clear" w:color="auto" w:fill="auto"/>
            <w:noWrap/>
            <w:vAlign w:val="center"/>
            <w:hideMark/>
          </w:tcPr>
          <w:p w14:paraId="41EFCD40"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15,52</w:t>
            </w:r>
          </w:p>
        </w:tc>
        <w:tc>
          <w:tcPr>
            <w:tcW w:w="1703" w:type="dxa"/>
            <w:tcBorders>
              <w:top w:val="nil"/>
              <w:left w:val="nil"/>
              <w:bottom w:val="single" w:sz="4" w:space="0" w:color="auto"/>
              <w:right w:val="single" w:sz="4" w:space="0" w:color="auto"/>
            </w:tcBorders>
            <w:shd w:val="clear" w:color="auto" w:fill="auto"/>
            <w:noWrap/>
            <w:vAlign w:val="center"/>
            <w:hideMark/>
          </w:tcPr>
          <w:p w14:paraId="27A1FAB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3,47</w:t>
            </w:r>
          </w:p>
        </w:tc>
        <w:tc>
          <w:tcPr>
            <w:tcW w:w="1424" w:type="dxa"/>
            <w:tcBorders>
              <w:top w:val="nil"/>
              <w:left w:val="nil"/>
              <w:bottom w:val="single" w:sz="4" w:space="0" w:color="auto"/>
              <w:right w:val="single" w:sz="4" w:space="0" w:color="auto"/>
            </w:tcBorders>
            <w:shd w:val="clear" w:color="auto" w:fill="auto"/>
            <w:noWrap/>
            <w:vAlign w:val="center"/>
            <w:hideMark/>
          </w:tcPr>
          <w:p w14:paraId="0C1C6952"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0,03</w:t>
            </w:r>
          </w:p>
        </w:tc>
        <w:tc>
          <w:tcPr>
            <w:tcW w:w="865" w:type="dxa"/>
            <w:tcBorders>
              <w:top w:val="nil"/>
              <w:left w:val="nil"/>
              <w:bottom w:val="single" w:sz="4" w:space="0" w:color="auto"/>
              <w:right w:val="single" w:sz="4" w:space="0" w:color="auto"/>
            </w:tcBorders>
            <w:shd w:val="clear" w:color="auto" w:fill="auto"/>
            <w:noWrap/>
            <w:vAlign w:val="center"/>
            <w:hideMark/>
          </w:tcPr>
          <w:p w14:paraId="390127A9"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0,64</w:t>
            </w:r>
          </w:p>
        </w:tc>
        <w:tc>
          <w:tcPr>
            <w:tcW w:w="1703" w:type="dxa"/>
            <w:tcBorders>
              <w:top w:val="nil"/>
              <w:left w:val="nil"/>
              <w:bottom w:val="single" w:sz="4" w:space="0" w:color="auto"/>
              <w:right w:val="single" w:sz="4" w:space="0" w:color="auto"/>
            </w:tcBorders>
            <w:shd w:val="clear" w:color="auto" w:fill="auto"/>
            <w:noWrap/>
            <w:vAlign w:val="center"/>
            <w:hideMark/>
          </w:tcPr>
          <w:p w14:paraId="7C5B530F"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22.208.013,47</w:t>
            </w:r>
          </w:p>
        </w:tc>
      </w:tr>
      <w:tr w:rsidR="00DE2258" w:rsidRPr="00DE2258" w14:paraId="620157D1"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317A959B"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2019</w:t>
            </w:r>
          </w:p>
        </w:tc>
        <w:tc>
          <w:tcPr>
            <w:tcW w:w="865" w:type="dxa"/>
            <w:tcBorders>
              <w:top w:val="nil"/>
              <w:left w:val="nil"/>
              <w:bottom w:val="single" w:sz="4" w:space="0" w:color="auto"/>
              <w:right w:val="single" w:sz="4" w:space="0" w:color="auto"/>
            </w:tcBorders>
            <w:shd w:val="clear" w:color="auto" w:fill="auto"/>
            <w:noWrap/>
            <w:vAlign w:val="center"/>
            <w:hideMark/>
          </w:tcPr>
          <w:p w14:paraId="46CA16A7"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-8,14</w:t>
            </w:r>
          </w:p>
        </w:tc>
        <w:tc>
          <w:tcPr>
            <w:tcW w:w="1557" w:type="dxa"/>
            <w:tcBorders>
              <w:top w:val="nil"/>
              <w:left w:val="nil"/>
              <w:bottom w:val="single" w:sz="4" w:space="0" w:color="auto"/>
              <w:right w:val="single" w:sz="4" w:space="0" w:color="auto"/>
            </w:tcBorders>
            <w:shd w:val="clear" w:color="auto" w:fill="auto"/>
            <w:noWrap/>
            <w:vAlign w:val="center"/>
            <w:hideMark/>
          </w:tcPr>
          <w:p w14:paraId="51D3D91D"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10,52</w:t>
            </w:r>
          </w:p>
        </w:tc>
        <w:tc>
          <w:tcPr>
            <w:tcW w:w="1238" w:type="dxa"/>
            <w:tcBorders>
              <w:top w:val="nil"/>
              <w:left w:val="nil"/>
              <w:bottom w:val="single" w:sz="4" w:space="0" w:color="auto"/>
              <w:right w:val="single" w:sz="4" w:space="0" w:color="auto"/>
            </w:tcBorders>
            <w:shd w:val="clear" w:color="auto" w:fill="auto"/>
            <w:noWrap/>
            <w:vAlign w:val="center"/>
            <w:hideMark/>
          </w:tcPr>
          <w:p w14:paraId="473CFC36"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8,09</w:t>
            </w:r>
          </w:p>
        </w:tc>
        <w:tc>
          <w:tcPr>
            <w:tcW w:w="1703" w:type="dxa"/>
            <w:tcBorders>
              <w:top w:val="nil"/>
              <w:left w:val="nil"/>
              <w:bottom w:val="single" w:sz="4" w:space="0" w:color="auto"/>
              <w:right w:val="single" w:sz="4" w:space="0" w:color="auto"/>
            </w:tcBorders>
            <w:shd w:val="clear" w:color="auto" w:fill="auto"/>
            <w:noWrap/>
            <w:vAlign w:val="center"/>
            <w:hideMark/>
          </w:tcPr>
          <w:p w14:paraId="09A472D2"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3,22</w:t>
            </w:r>
          </w:p>
        </w:tc>
        <w:tc>
          <w:tcPr>
            <w:tcW w:w="1424" w:type="dxa"/>
            <w:tcBorders>
              <w:top w:val="nil"/>
              <w:left w:val="nil"/>
              <w:bottom w:val="single" w:sz="4" w:space="0" w:color="auto"/>
              <w:right w:val="single" w:sz="4" w:space="0" w:color="auto"/>
            </w:tcBorders>
            <w:shd w:val="clear" w:color="auto" w:fill="auto"/>
            <w:noWrap/>
            <w:vAlign w:val="center"/>
            <w:hideMark/>
          </w:tcPr>
          <w:p w14:paraId="04D5958B"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0,05</w:t>
            </w:r>
          </w:p>
        </w:tc>
        <w:tc>
          <w:tcPr>
            <w:tcW w:w="865" w:type="dxa"/>
            <w:tcBorders>
              <w:top w:val="nil"/>
              <w:left w:val="nil"/>
              <w:bottom w:val="single" w:sz="4" w:space="0" w:color="auto"/>
              <w:right w:val="single" w:sz="4" w:space="0" w:color="auto"/>
            </w:tcBorders>
            <w:shd w:val="clear" w:color="auto" w:fill="auto"/>
            <w:noWrap/>
            <w:vAlign w:val="center"/>
            <w:hideMark/>
          </w:tcPr>
          <w:p w14:paraId="10D6B244"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-0,10</w:t>
            </w:r>
          </w:p>
        </w:tc>
        <w:tc>
          <w:tcPr>
            <w:tcW w:w="1703" w:type="dxa"/>
            <w:tcBorders>
              <w:top w:val="nil"/>
              <w:left w:val="nil"/>
              <w:bottom w:val="single" w:sz="4" w:space="0" w:color="auto"/>
              <w:right w:val="single" w:sz="4" w:space="0" w:color="auto"/>
            </w:tcBorders>
            <w:shd w:val="clear" w:color="auto" w:fill="auto"/>
            <w:noWrap/>
            <w:vAlign w:val="center"/>
            <w:hideMark/>
          </w:tcPr>
          <w:p w14:paraId="17819A18"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18,952,706.92</w:t>
            </w:r>
          </w:p>
        </w:tc>
      </w:tr>
      <w:tr w:rsidR="00DE2258" w:rsidRPr="00DE2258" w14:paraId="20F08DAF"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6892E99B"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2020</w:t>
            </w:r>
          </w:p>
        </w:tc>
        <w:tc>
          <w:tcPr>
            <w:tcW w:w="865" w:type="dxa"/>
            <w:tcBorders>
              <w:top w:val="nil"/>
              <w:left w:val="nil"/>
              <w:bottom w:val="single" w:sz="4" w:space="0" w:color="auto"/>
              <w:right w:val="single" w:sz="4" w:space="0" w:color="auto"/>
            </w:tcBorders>
            <w:shd w:val="clear" w:color="auto" w:fill="auto"/>
            <w:noWrap/>
            <w:vAlign w:val="center"/>
            <w:hideMark/>
          </w:tcPr>
          <w:p w14:paraId="6718C2BD"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414,71</w:t>
            </w:r>
          </w:p>
        </w:tc>
        <w:tc>
          <w:tcPr>
            <w:tcW w:w="1557" w:type="dxa"/>
            <w:tcBorders>
              <w:top w:val="nil"/>
              <w:left w:val="nil"/>
              <w:bottom w:val="single" w:sz="4" w:space="0" w:color="auto"/>
              <w:right w:val="single" w:sz="4" w:space="0" w:color="auto"/>
            </w:tcBorders>
            <w:shd w:val="clear" w:color="auto" w:fill="auto"/>
            <w:noWrap/>
            <w:vAlign w:val="center"/>
            <w:hideMark/>
          </w:tcPr>
          <w:p w14:paraId="3BF3A7EC"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9,77</w:t>
            </w:r>
          </w:p>
        </w:tc>
        <w:tc>
          <w:tcPr>
            <w:tcW w:w="1238" w:type="dxa"/>
            <w:tcBorders>
              <w:top w:val="nil"/>
              <w:left w:val="nil"/>
              <w:bottom w:val="single" w:sz="4" w:space="0" w:color="auto"/>
              <w:right w:val="single" w:sz="4" w:space="0" w:color="auto"/>
            </w:tcBorders>
            <w:shd w:val="clear" w:color="auto" w:fill="auto"/>
            <w:noWrap/>
            <w:vAlign w:val="center"/>
            <w:hideMark/>
          </w:tcPr>
          <w:p w14:paraId="0D7DEBB8"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25,15</w:t>
            </w:r>
          </w:p>
        </w:tc>
        <w:tc>
          <w:tcPr>
            <w:tcW w:w="1703" w:type="dxa"/>
            <w:tcBorders>
              <w:top w:val="nil"/>
              <w:left w:val="nil"/>
              <w:bottom w:val="single" w:sz="4" w:space="0" w:color="auto"/>
              <w:right w:val="single" w:sz="4" w:space="0" w:color="auto"/>
            </w:tcBorders>
            <w:shd w:val="clear" w:color="auto" w:fill="auto"/>
            <w:noWrap/>
            <w:vAlign w:val="center"/>
            <w:hideMark/>
          </w:tcPr>
          <w:p w14:paraId="32C8A34C"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2,75</w:t>
            </w:r>
          </w:p>
        </w:tc>
        <w:tc>
          <w:tcPr>
            <w:tcW w:w="1424" w:type="dxa"/>
            <w:tcBorders>
              <w:top w:val="nil"/>
              <w:left w:val="nil"/>
              <w:bottom w:val="single" w:sz="4" w:space="0" w:color="auto"/>
              <w:right w:val="single" w:sz="4" w:space="0" w:color="auto"/>
            </w:tcBorders>
            <w:shd w:val="clear" w:color="auto" w:fill="auto"/>
            <w:noWrap/>
            <w:vAlign w:val="center"/>
            <w:hideMark/>
          </w:tcPr>
          <w:p w14:paraId="562D6FF4"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0,02</w:t>
            </w:r>
          </w:p>
        </w:tc>
        <w:tc>
          <w:tcPr>
            <w:tcW w:w="865" w:type="dxa"/>
            <w:tcBorders>
              <w:top w:val="nil"/>
              <w:left w:val="nil"/>
              <w:bottom w:val="single" w:sz="4" w:space="0" w:color="auto"/>
              <w:right w:val="single" w:sz="4" w:space="0" w:color="auto"/>
            </w:tcBorders>
            <w:shd w:val="clear" w:color="auto" w:fill="auto"/>
            <w:noWrap/>
            <w:vAlign w:val="center"/>
            <w:hideMark/>
          </w:tcPr>
          <w:p w14:paraId="282CB936"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0,65</w:t>
            </w:r>
          </w:p>
        </w:tc>
        <w:tc>
          <w:tcPr>
            <w:tcW w:w="1703" w:type="dxa"/>
            <w:tcBorders>
              <w:top w:val="nil"/>
              <w:left w:val="nil"/>
              <w:bottom w:val="single" w:sz="4" w:space="0" w:color="auto"/>
              <w:right w:val="single" w:sz="4" w:space="0" w:color="auto"/>
            </w:tcBorders>
            <w:shd w:val="clear" w:color="auto" w:fill="auto"/>
            <w:noWrap/>
            <w:vAlign w:val="center"/>
            <w:hideMark/>
          </w:tcPr>
          <w:p w14:paraId="56CA10B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40.712.059,03</w:t>
            </w:r>
          </w:p>
        </w:tc>
      </w:tr>
      <w:tr w:rsidR="00DE2258" w:rsidRPr="00DE2258" w14:paraId="6BA79C3F"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47782B72"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2021</w:t>
            </w:r>
          </w:p>
        </w:tc>
        <w:tc>
          <w:tcPr>
            <w:tcW w:w="865" w:type="dxa"/>
            <w:tcBorders>
              <w:top w:val="nil"/>
              <w:left w:val="nil"/>
              <w:bottom w:val="single" w:sz="4" w:space="0" w:color="auto"/>
              <w:right w:val="single" w:sz="4" w:space="0" w:color="auto"/>
            </w:tcBorders>
            <w:shd w:val="clear" w:color="auto" w:fill="auto"/>
            <w:noWrap/>
            <w:vAlign w:val="center"/>
            <w:hideMark/>
          </w:tcPr>
          <w:p w14:paraId="68278915"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-6,26</w:t>
            </w:r>
          </w:p>
        </w:tc>
        <w:tc>
          <w:tcPr>
            <w:tcW w:w="1557" w:type="dxa"/>
            <w:tcBorders>
              <w:top w:val="nil"/>
              <w:left w:val="nil"/>
              <w:bottom w:val="single" w:sz="4" w:space="0" w:color="auto"/>
              <w:right w:val="single" w:sz="4" w:space="0" w:color="auto"/>
            </w:tcBorders>
            <w:shd w:val="clear" w:color="auto" w:fill="auto"/>
            <w:noWrap/>
            <w:vAlign w:val="center"/>
            <w:hideMark/>
          </w:tcPr>
          <w:p w14:paraId="4FC2CE35"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17,78</w:t>
            </w:r>
          </w:p>
        </w:tc>
        <w:tc>
          <w:tcPr>
            <w:tcW w:w="1238" w:type="dxa"/>
            <w:tcBorders>
              <w:top w:val="nil"/>
              <w:left w:val="nil"/>
              <w:bottom w:val="single" w:sz="4" w:space="0" w:color="auto"/>
              <w:right w:val="single" w:sz="4" w:space="0" w:color="auto"/>
            </w:tcBorders>
            <w:shd w:val="clear" w:color="auto" w:fill="auto"/>
            <w:noWrap/>
            <w:vAlign w:val="center"/>
            <w:hideMark/>
          </w:tcPr>
          <w:p w14:paraId="7F6DB07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79,89</w:t>
            </w:r>
          </w:p>
        </w:tc>
        <w:tc>
          <w:tcPr>
            <w:tcW w:w="1703" w:type="dxa"/>
            <w:tcBorders>
              <w:top w:val="nil"/>
              <w:left w:val="nil"/>
              <w:bottom w:val="single" w:sz="4" w:space="0" w:color="auto"/>
              <w:right w:val="single" w:sz="4" w:space="0" w:color="auto"/>
            </w:tcBorders>
            <w:shd w:val="clear" w:color="auto" w:fill="auto"/>
            <w:noWrap/>
            <w:vAlign w:val="center"/>
            <w:hideMark/>
          </w:tcPr>
          <w:p w14:paraId="2E172CE1"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1,66</w:t>
            </w:r>
          </w:p>
        </w:tc>
        <w:tc>
          <w:tcPr>
            <w:tcW w:w="1424" w:type="dxa"/>
            <w:tcBorders>
              <w:top w:val="nil"/>
              <w:left w:val="nil"/>
              <w:bottom w:val="single" w:sz="4" w:space="0" w:color="auto"/>
              <w:right w:val="single" w:sz="4" w:space="0" w:color="auto"/>
            </w:tcBorders>
            <w:shd w:val="clear" w:color="auto" w:fill="auto"/>
            <w:vAlign w:val="center"/>
            <w:hideMark/>
          </w:tcPr>
          <w:p w14:paraId="4A218C61"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0,04</w:t>
            </w:r>
          </w:p>
        </w:tc>
        <w:tc>
          <w:tcPr>
            <w:tcW w:w="865" w:type="dxa"/>
            <w:tcBorders>
              <w:top w:val="nil"/>
              <w:left w:val="nil"/>
              <w:bottom w:val="single" w:sz="4" w:space="0" w:color="auto"/>
              <w:right w:val="single" w:sz="4" w:space="0" w:color="auto"/>
            </w:tcBorders>
            <w:shd w:val="clear" w:color="auto" w:fill="auto"/>
            <w:noWrap/>
            <w:vAlign w:val="center"/>
            <w:hideMark/>
          </w:tcPr>
          <w:p w14:paraId="04133A8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-0,08</w:t>
            </w:r>
          </w:p>
        </w:tc>
        <w:tc>
          <w:tcPr>
            <w:tcW w:w="1703" w:type="dxa"/>
            <w:tcBorders>
              <w:top w:val="nil"/>
              <w:left w:val="nil"/>
              <w:bottom w:val="single" w:sz="4" w:space="0" w:color="auto"/>
              <w:right w:val="single" w:sz="4" w:space="0" w:color="auto"/>
            </w:tcBorders>
            <w:shd w:val="clear" w:color="auto" w:fill="auto"/>
            <w:noWrap/>
            <w:vAlign w:val="center"/>
            <w:hideMark/>
          </w:tcPr>
          <w:p w14:paraId="70B85BD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96.416.770,48</w:t>
            </w:r>
          </w:p>
        </w:tc>
      </w:tr>
      <w:tr w:rsidR="00DE2258" w:rsidRPr="00DE2258" w14:paraId="54CD112E"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1821FAA0"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2022</w:t>
            </w:r>
          </w:p>
        </w:tc>
        <w:tc>
          <w:tcPr>
            <w:tcW w:w="865" w:type="dxa"/>
            <w:tcBorders>
              <w:top w:val="nil"/>
              <w:left w:val="nil"/>
              <w:bottom w:val="single" w:sz="4" w:space="0" w:color="auto"/>
              <w:right w:val="single" w:sz="4" w:space="0" w:color="auto"/>
            </w:tcBorders>
            <w:shd w:val="clear" w:color="auto" w:fill="auto"/>
            <w:noWrap/>
            <w:vAlign w:val="center"/>
            <w:hideMark/>
          </w:tcPr>
          <w:p w14:paraId="6A988897"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177,45</w:t>
            </w:r>
          </w:p>
        </w:tc>
        <w:tc>
          <w:tcPr>
            <w:tcW w:w="1557" w:type="dxa"/>
            <w:tcBorders>
              <w:top w:val="nil"/>
              <w:left w:val="nil"/>
              <w:bottom w:val="single" w:sz="4" w:space="0" w:color="auto"/>
              <w:right w:val="single" w:sz="4" w:space="0" w:color="auto"/>
            </w:tcBorders>
            <w:shd w:val="clear" w:color="auto" w:fill="auto"/>
            <w:noWrap/>
            <w:vAlign w:val="center"/>
            <w:hideMark/>
          </w:tcPr>
          <w:p w14:paraId="78BCF918"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16,68</w:t>
            </w:r>
          </w:p>
        </w:tc>
        <w:tc>
          <w:tcPr>
            <w:tcW w:w="1238" w:type="dxa"/>
            <w:tcBorders>
              <w:top w:val="nil"/>
              <w:left w:val="nil"/>
              <w:bottom w:val="single" w:sz="4" w:space="0" w:color="auto"/>
              <w:right w:val="single" w:sz="4" w:space="0" w:color="auto"/>
            </w:tcBorders>
            <w:shd w:val="clear" w:color="auto" w:fill="auto"/>
            <w:noWrap/>
            <w:vAlign w:val="center"/>
            <w:hideMark/>
          </w:tcPr>
          <w:p w14:paraId="04AD11AC"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97,72</w:t>
            </w:r>
          </w:p>
        </w:tc>
        <w:tc>
          <w:tcPr>
            <w:tcW w:w="1703" w:type="dxa"/>
            <w:tcBorders>
              <w:top w:val="nil"/>
              <w:left w:val="nil"/>
              <w:bottom w:val="single" w:sz="4" w:space="0" w:color="auto"/>
              <w:right w:val="single" w:sz="4" w:space="0" w:color="auto"/>
            </w:tcBorders>
            <w:shd w:val="clear" w:color="auto" w:fill="auto"/>
            <w:noWrap/>
            <w:vAlign w:val="center"/>
            <w:hideMark/>
          </w:tcPr>
          <w:p w14:paraId="7E8BA20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2,10</w:t>
            </w:r>
          </w:p>
        </w:tc>
        <w:tc>
          <w:tcPr>
            <w:tcW w:w="1424" w:type="dxa"/>
            <w:tcBorders>
              <w:top w:val="nil"/>
              <w:left w:val="nil"/>
              <w:bottom w:val="single" w:sz="4" w:space="0" w:color="auto"/>
              <w:right w:val="single" w:sz="4" w:space="0" w:color="auto"/>
            </w:tcBorders>
            <w:shd w:val="clear" w:color="auto" w:fill="auto"/>
            <w:vAlign w:val="center"/>
            <w:hideMark/>
          </w:tcPr>
          <w:p w14:paraId="4DD3459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0,04</w:t>
            </w:r>
          </w:p>
        </w:tc>
        <w:tc>
          <w:tcPr>
            <w:tcW w:w="865" w:type="dxa"/>
            <w:tcBorders>
              <w:top w:val="nil"/>
              <w:left w:val="nil"/>
              <w:bottom w:val="single" w:sz="4" w:space="0" w:color="auto"/>
              <w:right w:val="single" w:sz="4" w:space="0" w:color="auto"/>
            </w:tcBorders>
            <w:shd w:val="clear" w:color="auto" w:fill="auto"/>
            <w:noWrap/>
            <w:vAlign w:val="center"/>
            <w:hideMark/>
          </w:tcPr>
          <w:p w14:paraId="3D20F53D"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0,37</w:t>
            </w:r>
          </w:p>
        </w:tc>
        <w:tc>
          <w:tcPr>
            <w:tcW w:w="1703" w:type="dxa"/>
            <w:tcBorders>
              <w:top w:val="nil"/>
              <w:left w:val="nil"/>
              <w:bottom w:val="single" w:sz="4" w:space="0" w:color="auto"/>
              <w:right w:val="single" w:sz="4" w:space="0" w:color="auto"/>
            </w:tcBorders>
            <w:shd w:val="clear" w:color="auto" w:fill="auto"/>
            <w:noWrap/>
            <w:vAlign w:val="center"/>
            <w:hideMark/>
          </w:tcPr>
          <w:p w14:paraId="346D0106"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756.656.864,13</w:t>
            </w:r>
          </w:p>
        </w:tc>
      </w:tr>
      <w:tr w:rsidR="00DE2258" w:rsidRPr="00DE2258" w14:paraId="5DCF4500"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5A18EEEC"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2023</w:t>
            </w:r>
          </w:p>
        </w:tc>
        <w:tc>
          <w:tcPr>
            <w:tcW w:w="865" w:type="dxa"/>
            <w:tcBorders>
              <w:top w:val="nil"/>
              <w:left w:val="nil"/>
              <w:bottom w:val="single" w:sz="4" w:space="0" w:color="auto"/>
              <w:right w:val="single" w:sz="4" w:space="0" w:color="auto"/>
            </w:tcBorders>
            <w:shd w:val="clear" w:color="auto" w:fill="auto"/>
            <w:noWrap/>
            <w:vAlign w:val="center"/>
            <w:hideMark/>
          </w:tcPr>
          <w:p w14:paraId="0992AC14"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-10,21</w:t>
            </w:r>
          </w:p>
        </w:tc>
        <w:tc>
          <w:tcPr>
            <w:tcW w:w="1557" w:type="dxa"/>
            <w:tcBorders>
              <w:top w:val="nil"/>
              <w:left w:val="nil"/>
              <w:bottom w:val="single" w:sz="4" w:space="0" w:color="auto"/>
              <w:right w:val="single" w:sz="4" w:space="0" w:color="auto"/>
            </w:tcBorders>
            <w:shd w:val="clear" w:color="auto" w:fill="auto"/>
            <w:noWrap/>
            <w:vAlign w:val="center"/>
            <w:hideMark/>
          </w:tcPr>
          <w:p w14:paraId="5AE034A9"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28,33</w:t>
            </w:r>
          </w:p>
        </w:tc>
        <w:tc>
          <w:tcPr>
            <w:tcW w:w="1238" w:type="dxa"/>
            <w:tcBorders>
              <w:top w:val="nil"/>
              <w:left w:val="nil"/>
              <w:bottom w:val="single" w:sz="4" w:space="0" w:color="auto"/>
              <w:right w:val="single" w:sz="4" w:space="0" w:color="auto"/>
            </w:tcBorders>
            <w:shd w:val="clear" w:color="auto" w:fill="auto"/>
            <w:noWrap/>
            <w:vAlign w:val="center"/>
            <w:hideMark/>
          </w:tcPr>
          <w:p w14:paraId="6651167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44,22</w:t>
            </w:r>
          </w:p>
        </w:tc>
        <w:tc>
          <w:tcPr>
            <w:tcW w:w="1703" w:type="dxa"/>
            <w:tcBorders>
              <w:top w:val="nil"/>
              <w:left w:val="nil"/>
              <w:bottom w:val="single" w:sz="4" w:space="0" w:color="auto"/>
              <w:right w:val="single" w:sz="4" w:space="0" w:color="auto"/>
            </w:tcBorders>
            <w:shd w:val="clear" w:color="auto" w:fill="auto"/>
            <w:noWrap/>
            <w:vAlign w:val="center"/>
            <w:hideMark/>
          </w:tcPr>
          <w:p w14:paraId="4FD8336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3,02</w:t>
            </w:r>
          </w:p>
        </w:tc>
        <w:tc>
          <w:tcPr>
            <w:tcW w:w="1424" w:type="dxa"/>
            <w:tcBorders>
              <w:top w:val="nil"/>
              <w:left w:val="nil"/>
              <w:bottom w:val="single" w:sz="4" w:space="0" w:color="auto"/>
              <w:right w:val="single" w:sz="4" w:space="0" w:color="auto"/>
            </w:tcBorders>
            <w:shd w:val="clear" w:color="auto" w:fill="auto"/>
            <w:vAlign w:val="center"/>
            <w:hideMark/>
          </w:tcPr>
          <w:p w14:paraId="34395555"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0,07</w:t>
            </w:r>
          </w:p>
        </w:tc>
        <w:tc>
          <w:tcPr>
            <w:tcW w:w="865" w:type="dxa"/>
            <w:tcBorders>
              <w:top w:val="nil"/>
              <w:left w:val="nil"/>
              <w:bottom w:val="single" w:sz="4" w:space="0" w:color="auto"/>
              <w:right w:val="single" w:sz="4" w:space="0" w:color="auto"/>
            </w:tcBorders>
            <w:shd w:val="clear" w:color="auto" w:fill="auto"/>
            <w:noWrap/>
            <w:vAlign w:val="center"/>
            <w:hideMark/>
          </w:tcPr>
          <w:p w14:paraId="168B5FF8"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-0,10</w:t>
            </w:r>
          </w:p>
        </w:tc>
        <w:tc>
          <w:tcPr>
            <w:tcW w:w="1703" w:type="dxa"/>
            <w:tcBorders>
              <w:top w:val="nil"/>
              <w:left w:val="nil"/>
              <w:bottom w:val="single" w:sz="4" w:space="0" w:color="auto"/>
              <w:right w:val="single" w:sz="4" w:space="0" w:color="auto"/>
            </w:tcBorders>
            <w:shd w:val="clear" w:color="auto" w:fill="auto"/>
            <w:noWrap/>
            <w:vAlign w:val="center"/>
            <w:hideMark/>
          </w:tcPr>
          <w:p w14:paraId="7BED6882"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210.091.165,95</w:t>
            </w:r>
          </w:p>
        </w:tc>
      </w:tr>
      <w:tr w:rsidR="00DE2258" w:rsidRPr="00DE2258" w14:paraId="4AEF87DA" w14:textId="77777777" w:rsidTr="00DE2258">
        <w:trPr>
          <w:trHeight w:val="307"/>
        </w:trPr>
        <w:tc>
          <w:tcPr>
            <w:tcW w:w="785" w:type="dxa"/>
            <w:tcBorders>
              <w:top w:val="nil"/>
              <w:left w:val="single" w:sz="4" w:space="0" w:color="auto"/>
              <w:bottom w:val="single" w:sz="4" w:space="0" w:color="auto"/>
              <w:right w:val="single" w:sz="4" w:space="0" w:color="auto"/>
            </w:tcBorders>
            <w:shd w:val="clear" w:color="auto" w:fill="auto"/>
            <w:noWrap/>
            <w:vAlign w:val="center"/>
            <w:hideMark/>
          </w:tcPr>
          <w:p w14:paraId="739701EA"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2024(***)</w:t>
            </w:r>
          </w:p>
        </w:tc>
        <w:tc>
          <w:tcPr>
            <w:tcW w:w="865" w:type="dxa"/>
            <w:tcBorders>
              <w:top w:val="nil"/>
              <w:left w:val="nil"/>
              <w:bottom w:val="single" w:sz="4" w:space="0" w:color="auto"/>
              <w:right w:val="single" w:sz="4" w:space="0" w:color="auto"/>
            </w:tcBorders>
            <w:shd w:val="clear" w:color="auto" w:fill="auto"/>
            <w:noWrap/>
            <w:vAlign w:val="center"/>
            <w:hideMark/>
          </w:tcPr>
          <w:p w14:paraId="033163F3"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-10,92</w:t>
            </w:r>
          </w:p>
        </w:tc>
        <w:tc>
          <w:tcPr>
            <w:tcW w:w="1557" w:type="dxa"/>
            <w:tcBorders>
              <w:top w:val="nil"/>
              <w:left w:val="nil"/>
              <w:bottom w:val="single" w:sz="4" w:space="0" w:color="auto"/>
              <w:right w:val="single" w:sz="4" w:space="0" w:color="auto"/>
            </w:tcBorders>
            <w:shd w:val="clear" w:color="auto" w:fill="auto"/>
            <w:noWrap/>
            <w:vAlign w:val="center"/>
            <w:hideMark/>
          </w:tcPr>
          <w:p w14:paraId="18D41129"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27,41</w:t>
            </w:r>
          </w:p>
        </w:tc>
        <w:tc>
          <w:tcPr>
            <w:tcW w:w="1238" w:type="dxa"/>
            <w:tcBorders>
              <w:top w:val="nil"/>
              <w:left w:val="nil"/>
              <w:bottom w:val="single" w:sz="4" w:space="0" w:color="auto"/>
              <w:right w:val="single" w:sz="4" w:space="0" w:color="auto"/>
            </w:tcBorders>
            <w:shd w:val="clear" w:color="auto" w:fill="auto"/>
            <w:noWrap/>
            <w:vAlign w:val="center"/>
            <w:hideMark/>
          </w:tcPr>
          <w:p w14:paraId="1AA307FF"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19,49</w:t>
            </w:r>
          </w:p>
        </w:tc>
        <w:tc>
          <w:tcPr>
            <w:tcW w:w="1703" w:type="dxa"/>
            <w:tcBorders>
              <w:top w:val="nil"/>
              <w:left w:val="nil"/>
              <w:bottom w:val="single" w:sz="4" w:space="0" w:color="auto"/>
              <w:right w:val="single" w:sz="4" w:space="0" w:color="auto"/>
            </w:tcBorders>
            <w:shd w:val="clear" w:color="auto" w:fill="auto"/>
            <w:noWrap/>
            <w:vAlign w:val="center"/>
            <w:hideMark/>
          </w:tcPr>
          <w:p w14:paraId="7B7691A8"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2,61</w:t>
            </w:r>
          </w:p>
        </w:tc>
        <w:tc>
          <w:tcPr>
            <w:tcW w:w="1424" w:type="dxa"/>
            <w:tcBorders>
              <w:top w:val="nil"/>
              <w:left w:val="nil"/>
              <w:bottom w:val="single" w:sz="4" w:space="0" w:color="auto"/>
              <w:right w:val="single" w:sz="4" w:space="0" w:color="auto"/>
            </w:tcBorders>
            <w:shd w:val="clear" w:color="auto" w:fill="auto"/>
            <w:vAlign w:val="center"/>
            <w:hideMark/>
          </w:tcPr>
          <w:p w14:paraId="0EBED9F0"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0,14</w:t>
            </w:r>
          </w:p>
        </w:tc>
        <w:tc>
          <w:tcPr>
            <w:tcW w:w="865" w:type="dxa"/>
            <w:tcBorders>
              <w:top w:val="nil"/>
              <w:left w:val="nil"/>
              <w:bottom w:val="single" w:sz="4" w:space="0" w:color="auto"/>
              <w:right w:val="single" w:sz="4" w:space="0" w:color="auto"/>
            </w:tcBorders>
            <w:shd w:val="clear" w:color="auto" w:fill="auto"/>
            <w:noWrap/>
            <w:vAlign w:val="center"/>
            <w:hideMark/>
          </w:tcPr>
          <w:p w14:paraId="4ABB8210"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-0,27</w:t>
            </w:r>
          </w:p>
        </w:tc>
        <w:tc>
          <w:tcPr>
            <w:tcW w:w="1703" w:type="dxa"/>
            <w:tcBorders>
              <w:top w:val="nil"/>
              <w:left w:val="nil"/>
              <w:bottom w:val="single" w:sz="4" w:space="0" w:color="auto"/>
              <w:right w:val="single" w:sz="4" w:space="0" w:color="auto"/>
            </w:tcBorders>
            <w:shd w:val="clear" w:color="auto" w:fill="auto"/>
            <w:noWrap/>
            <w:vAlign w:val="center"/>
            <w:hideMark/>
          </w:tcPr>
          <w:p w14:paraId="16796A4B" w14:textId="77777777" w:rsidR="00DE2258" w:rsidRPr="00DE2258" w:rsidRDefault="00DE2258" w:rsidP="00DE2258">
            <w:pPr>
              <w:spacing w:after="0" w:line="240" w:lineRule="auto"/>
              <w:jc w:val="center"/>
              <w:rPr>
                <w:rFonts w:ascii="Times New Roman" w:eastAsia="Times New Roman" w:hAnsi="Times New Roman" w:cs="Times New Roman"/>
                <w:b/>
                <w:bCs/>
                <w:color w:val="000000"/>
                <w:sz w:val="18"/>
                <w:szCs w:val="18"/>
                <w:lang w:eastAsia="tr-TR"/>
              </w:rPr>
            </w:pPr>
            <w:r w:rsidRPr="00DE2258">
              <w:rPr>
                <w:rFonts w:ascii="Times New Roman" w:eastAsia="Times New Roman" w:hAnsi="Times New Roman" w:cs="Times New Roman"/>
                <w:b/>
                <w:bCs/>
                <w:color w:val="000000"/>
                <w:sz w:val="18"/>
                <w:szCs w:val="18"/>
                <w:lang w:eastAsia="tr-TR"/>
              </w:rPr>
              <w:t>192.938.667,74</w:t>
            </w:r>
          </w:p>
        </w:tc>
      </w:tr>
    </w:tbl>
    <w:p w14:paraId="4167608B" w14:textId="77777777" w:rsidR="00106889" w:rsidRPr="00D16AC6" w:rsidRDefault="00106889" w:rsidP="00032E31">
      <w:pPr>
        <w:spacing w:after="0"/>
        <w:jc w:val="both"/>
        <w:rPr>
          <w:rFonts w:ascii="Times New Roman" w:hAnsi="Times New Roman" w:cs="Times New Roman"/>
          <w:sz w:val="24"/>
          <w:szCs w:val="24"/>
        </w:rPr>
      </w:pPr>
    </w:p>
    <w:p w14:paraId="35EF92D5" w14:textId="77777777" w:rsidR="00621CF3" w:rsidRPr="00D16AC6" w:rsidRDefault="00030329" w:rsidP="00032E31">
      <w:pPr>
        <w:spacing w:after="0"/>
        <w:jc w:val="both"/>
        <w:rPr>
          <w:rFonts w:ascii="Times New Roman" w:hAnsi="Times New Roman" w:cs="Times New Roman"/>
          <w:sz w:val="24"/>
          <w:szCs w:val="24"/>
        </w:rPr>
      </w:pPr>
      <w:r w:rsidRPr="00D16AC6">
        <w:rPr>
          <w:rFonts w:ascii="Times New Roman" w:hAnsi="Times New Roman" w:cs="Times New Roman"/>
          <w:sz w:val="24"/>
          <w:szCs w:val="24"/>
        </w:rPr>
        <w:t>(*)</w:t>
      </w:r>
      <w:r w:rsidRPr="00D16AC6">
        <w:rPr>
          <w:rFonts w:ascii="Times New Roman" w:hAnsi="Times New Roman" w:cs="Times New Roman"/>
          <w:sz w:val="24"/>
          <w:szCs w:val="24"/>
        </w:rPr>
        <w:tab/>
      </w:r>
      <w:r w:rsidR="005C70A1" w:rsidRPr="00D16AC6">
        <w:rPr>
          <w:rFonts w:ascii="Times New Roman" w:hAnsi="Times New Roman" w:cs="Times New Roman"/>
          <w:sz w:val="24"/>
          <w:szCs w:val="24"/>
        </w:rPr>
        <w:t>Eşik Değer</w:t>
      </w:r>
      <w:r w:rsidRPr="00D16AC6">
        <w:rPr>
          <w:rFonts w:ascii="Times New Roman" w:hAnsi="Times New Roman" w:cs="Times New Roman"/>
          <w:sz w:val="24"/>
          <w:szCs w:val="24"/>
        </w:rPr>
        <w:t>: BIST-KYD 1 Aylık Gösterge TL Mevduat Endeksi’dir.</w:t>
      </w:r>
    </w:p>
    <w:p w14:paraId="42E0C328" w14:textId="4336D42E" w:rsidR="00C95471" w:rsidRPr="00D16AC6" w:rsidRDefault="00C95471" w:rsidP="00C95471">
      <w:pPr>
        <w:spacing w:after="0"/>
        <w:jc w:val="both"/>
        <w:rPr>
          <w:rFonts w:ascii="Times New Roman" w:hAnsi="Times New Roman" w:cs="Times New Roman"/>
          <w:sz w:val="24"/>
          <w:szCs w:val="24"/>
        </w:rPr>
      </w:pPr>
      <w:r w:rsidRPr="00D16AC6">
        <w:rPr>
          <w:rFonts w:ascii="Times New Roman" w:hAnsi="Times New Roman" w:cs="Times New Roman"/>
          <w:sz w:val="24"/>
          <w:szCs w:val="24"/>
        </w:rPr>
        <w:t>(**)</w:t>
      </w:r>
      <w:r w:rsidRPr="00D16AC6">
        <w:rPr>
          <w:rFonts w:ascii="Times New Roman" w:hAnsi="Times New Roman" w:cs="Times New Roman"/>
          <w:sz w:val="24"/>
          <w:szCs w:val="24"/>
        </w:rPr>
        <w:tab/>
        <w:t>Enflasyon oranı T</w:t>
      </w:r>
      <w:r w:rsidR="003F595D" w:rsidRPr="00D16AC6">
        <w:rPr>
          <w:rFonts w:ascii="Times New Roman" w:hAnsi="Times New Roman" w:cs="Times New Roman"/>
          <w:sz w:val="24"/>
          <w:szCs w:val="24"/>
        </w:rPr>
        <w:t>Ü</w:t>
      </w:r>
      <w:r w:rsidRPr="00D16AC6">
        <w:rPr>
          <w:rFonts w:ascii="Times New Roman" w:hAnsi="Times New Roman" w:cs="Times New Roman"/>
          <w:sz w:val="24"/>
          <w:szCs w:val="24"/>
        </w:rPr>
        <w:t xml:space="preserve">İK tarafından açıklanan ÜFE’nin dönemsel oranıdır. </w:t>
      </w:r>
    </w:p>
    <w:p w14:paraId="43AB9DD6" w14:textId="5985DDDE" w:rsidR="00030329" w:rsidRPr="00D16AC6" w:rsidRDefault="005F5413" w:rsidP="00533EF8">
      <w:pPr>
        <w:spacing w:after="0"/>
        <w:jc w:val="both"/>
        <w:rPr>
          <w:rFonts w:ascii="Times New Roman" w:hAnsi="Times New Roman" w:cs="Times New Roman"/>
          <w:sz w:val="24"/>
          <w:szCs w:val="24"/>
        </w:rPr>
      </w:pPr>
      <w:r w:rsidRPr="00D16AC6">
        <w:rPr>
          <w:rFonts w:ascii="Times New Roman" w:hAnsi="Times New Roman" w:cs="Times New Roman"/>
          <w:sz w:val="24"/>
          <w:szCs w:val="24"/>
        </w:rPr>
        <w:t>(***)</w:t>
      </w:r>
      <w:r w:rsidRPr="00D16AC6">
        <w:rPr>
          <w:rFonts w:ascii="Times New Roman" w:hAnsi="Times New Roman" w:cs="Times New Roman"/>
          <w:sz w:val="24"/>
          <w:szCs w:val="24"/>
        </w:rPr>
        <w:tab/>
      </w:r>
      <w:r w:rsidR="008003DC" w:rsidRPr="00D16AC6">
        <w:rPr>
          <w:rFonts w:ascii="Times New Roman" w:hAnsi="Times New Roman" w:cs="Times New Roman"/>
          <w:sz w:val="24"/>
          <w:szCs w:val="24"/>
        </w:rPr>
        <w:t xml:space="preserve">Fon’un </w:t>
      </w:r>
      <w:r w:rsidR="00FF4256">
        <w:rPr>
          <w:rFonts w:ascii="Times New Roman" w:hAnsi="Times New Roman" w:cs="Times New Roman"/>
          <w:sz w:val="24"/>
          <w:szCs w:val="24"/>
        </w:rPr>
        <w:t>01.01.202</w:t>
      </w:r>
      <w:r w:rsidR="006378F5">
        <w:rPr>
          <w:rFonts w:ascii="Times New Roman" w:hAnsi="Times New Roman" w:cs="Times New Roman"/>
          <w:sz w:val="24"/>
          <w:szCs w:val="24"/>
        </w:rPr>
        <w:t>4</w:t>
      </w:r>
      <w:r w:rsidR="00411BC9" w:rsidRPr="00D16AC6">
        <w:rPr>
          <w:rFonts w:ascii="Times New Roman" w:hAnsi="Times New Roman" w:cs="Times New Roman"/>
          <w:sz w:val="24"/>
          <w:szCs w:val="24"/>
        </w:rPr>
        <w:t xml:space="preserve"> i</w:t>
      </w:r>
      <w:r w:rsidRPr="00D16AC6">
        <w:rPr>
          <w:rFonts w:ascii="Times New Roman" w:hAnsi="Times New Roman" w:cs="Times New Roman"/>
          <w:sz w:val="24"/>
          <w:szCs w:val="24"/>
        </w:rPr>
        <w:t xml:space="preserve">le </w:t>
      </w:r>
      <w:r w:rsidR="0068582B">
        <w:rPr>
          <w:rFonts w:ascii="Times New Roman" w:hAnsi="Times New Roman" w:cs="Times New Roman"/>
          <w:sz w:val="24"/>
          <w:szCs w:val="24"/>
        </w:rPr>
        <w:t>3</w:t>
      </w:r>
      <w:r w:rsidR="006378F5">
        <w:rPr>
          <w:rFonts w:ascii="Times New Roman" w:hAnsi="Times New Roman" w:cs="Times New Roman"/>
          <w:sz w:val="24"/>
          <w:szCs w:val="24"/>
        </w:rPr>
        <w:t>0.06.2024</w:t>
      </w:r>
      <w:r w:rsidR="00411BC9" w:rsidRPr="00D16AC6">
        <w:rPr>
          <w:rFonts w:ascii="Times New Roman" w:hAnsi="Times New Roman" w:cs="Times New Roman"/>
          <w:sz w:val="24"/>
          <w:szCs w:val="24"/>
        </w:rPr>
        <w:t xml:space="preserve"> </w:t>
      </w:r>
      <w:r w:rsidRPr="00D16AC6">
        <w:rPr>
          <w:rFonts w:ascii="Times New Roman" w:hAnsi="Times New Roman" w:cs="Times New Roman"/>
          <w:sz w:val="24"/>
          <w:szCs w:val="24"/>
        </w:rPr>
        <w:t>tarihleri arasındaki dönemi</w:t>
      </w:r>
      <w:r w:rsidR="0016237E" w:rsidRPr="00D16AC6">
        <w:rPr>
          <w:rFonts w:ascii="Times New Roman" w:hAnsi="Times New Roman" w:cs="Times New Roman"/>
          <w:sz w:val="24"/>
          <w:szCs w:val="24"/>
        </w:rPr>
        <w:t xml:space="preserve"> </w:t>
      </w:r>
      <w:r w:rsidRPr="00D16AC6">
        <w:rPr>
          <w:rFonts w:ascii="Times New Roman" w:hAnsi="Times New Roman" w:cs="Times New Roman"/>
          <w:sz w:val="24"/>
          <w:szCs w:val="24"/>
        </w:rPr>
        <w:t>kapsamaktadır.</w:t>
      </w:r>
    </w:p>
    <w:p w14:paraId="1E9E970D" w14:textId="77777777" w:rsidR="00BC4211" w:rsidRPr="00D16AC6" w:rsidRDefault="00BC4211" w:rsidP="00032E31">
      <w:pPr>
        <w:spacing w:after="0"/>
        <w:ind w:left="705" w:hanging="705"/>
        <w:jc w:val="both"/>
        <w:rPr>
          <w:rFonts w:ascii="Times New Roman" w:hAnsi="Times New Roman" w:cs="Times New Roman"/>
          <w:sz w:val="24"/>
          <w:szCs w:val="24"/>
        </w:rPr>
      </w:pPr>
    </w:p>
    <w:p w14:paraId="45159102" w14:textId="77777777" w:rsidR="00BC4211" w:rsidRPr="00D16AC6" w:rsidRDefault="002E2517" w:rsidP="005F5413">
      <w:pPr>
        <w:spacing w:after="0"/>
        <w:ind w:left="705" w:hanging="705"/>
        <w:rPr>
          <w:rFonts w:ascii="Times New Roman" w:hAnsi="Times New Roman" w:cs="Times New Roman"/>
          <w:b/>
          <w:sz w:val="24"/>
          <w:szCs w:val="24"/>
          <w:u w:val="single"/>
        </w:rPr>
      </w:pPr>
      <w:r w:rsidRPr="00D16AC6">
        <w:rPr>
          <w:rFonts w:ascii="Times New Roman" w:hAnsi="Times New Roman" w:cs="Times New Roman"/>
          <w:b/>
          <w:sz w:val="24"/>
          <w:szCs w:val="24"/>
          <w:u w:val="single"/>
          <w:shd w:val="clear" w:color="auto" w:fill="FFFFFF"/>
        </w:rPr>
        <w:t>Portföyün geçmiş performansı gelecek dönem performansı için bir gösterge olamaz.</w:t>
      </w:r>
    </w:p>
    <w:p w14:paraId="07EA315D" w14:textId="40122548" w:rsidR="001547A9" w:rsidRPr="00D16AC6" w:rsidRDefault="001547A9" w:rsidP="00553667">
      <w:pPr>
        <w:spacing w:after="0"/>
        <w:rPr>
          <w:rFonts w:ascii="Times New Roman" w:hAnsi="Times New Roman" w:cs="Times New Roman"/>
          <w:sz w:val="24"/>
          <w:szCs w:val="24"/>
        </w:rPr>
      </w:pPr>
    </w:p>
    <w:p w14:paraId="132D18F8" w14:textId="77777777" w:rsidR="009B5813" w:rsidRPr="00D16AC6" w:rsidRDefault="009B5813" w:rsidP="005F5413">
      <w:pPr>
        <w:spacing w:after="0"/>
        <w:ind w:left="705" w:hanging="705"/>
        <w:rPr>
          <w:rFonts w:ascii="Times New Roman" w:hAnsi="Times New Roman" w:cs="Times New Roman"/>
          <w:sz w:val="24"/>
          <w:szCs w:val="24"/>
        </w:rPr>
      </w:pPr>
    </w:p>
    <w:p w14:paraId="0D192A7B" w14:textId="77777777" w:rsidR="00BC4211" w:rsidRPr="00D16AC6" w:rsidRDefault="00BC4211" w:rsidP="00BC4211">
      <w:pPr>
        <w:pStyle w:val="ListeParagraf"/>
        <w:numPr>
          <w:ilvl w:val="0"/>
          <w:numId w:val="1"/>
        </w:numPr>
        <w:spacing w:after="0"/>
        <w:rPr>
          <w:rFonts w:ascii="Times New Roman" w:hAnsi="Times New Roman" w:cs="Times New Roman"/>
          <w:b/>
          <w:sz w:val="24"/>
          <w:szCs w:val="24"/>
        </w:rPr>
      </w:pPr>
      <w:r w:rsidRPr="00D16AC6">
        <w:rPr>
          <w:rFonts w:ascii="Times New Roman" w:hAnsi="Times New Roman" w:cs="Times New Roman"/>
          <w:b/>
          <w:sz w:val="24"/>
          <w:szCs w:val="24"/>
        </w:rPr>
        <w:t>DİPNOTLAR</w:t>
      </w:r>
    </w:p>
    <w:p w14:paraId="197F76D2" w14:textId="77777777" w:rsidR="00BC4211" w:rsidRPr="00D16AC6" w:rsidRDefault="00BC4211" w:rsidP="00BC4211">
      <w:pPr>
        <w:spacing w:after="0"/>
        <w:rPr>
          <w:rFonts w:ascii="Times New Roman" w:hAnsi="Times New Roman" w:cs="Times New Roman"/>
          <w:b/>
          <w:sz w:val="24"/>
          <w:szCs w:val="24"/>
        </w:rPr>
      </w:pPr>
    </w:p>
    <w:p w14:paraId="4724A724" w14:textId="77777777" w:rsidR="00F6179D" w:rsidRDefault="00C95471" w:rsidP="00F6179D">
      <w:pPr>
        <w:pStyle w:val="ListeParagraf"/>
        <w:numPr>
          <w:ilvl w:val="0"/>
          <w:numId w:val="5"/>
        </w:numPr>
        <w:spacing w:after="0"/>
        <w:jc w:val="both"/>
        <w:rPr>
          <w:rFonts w:ascii="Times New Roman" w:eastAsia="Times New Roman" w:hAnsi="Times New Roman" w:cs="Times New Roman"/>
          <w:sz w:val="24"/>
          <w:szCs w:val="24"/>
        </w:rPr>
      </w:pPr>
      <w:r w:rsidRPr="00F6179D">
        <w:rPr>
          <w:rFonts w:ascii="Times New Roman" w:hAnsi="Times New Roman" w:cs="Times New Roman"/>
          <w:sz w:val="24"/>
          <w:szCs w:val="24"/>
        </w:rPr>
        <w:t xml:space="preserve">Hedef Portföy </w:t>
      </w:r>
      <w:r w:rsidR="00192628" w:rsidRPr="00F6179D">
        <w:rPr>
          <w:rFonts w:ascii="Times New Roman" w:hAnsi="Times New Roman" w:cs="Times New Roman"/>
          <w:sz w:val="24"/>
          <w:szCs w:val="24"/>
        </w:rPr>
        <w:t xml:space="preserve">Kuzey </w:t>
      </w:r>
      <w:r w:rsidR="00BA1F9B" w:rsidRPr="00F6179D">
        <w:rPr>
          <w:rFonts w:ascii="Times New Roman" w:hAnsi="Times New Roman" w:cs="Times New Roman"/>
          <w:sz w:val="24"/>
          <w:szCs w:val="24"/>
        </w:rPr>
        <w:t xml:space="preserve">Hisse Senedi </w:t>
      </w:r>
      <w:r w:rsidRPr="00F6179D">
        <w:rPr>
          <w:rFonts w:ascii="Times New Roman" w:hAnsi="Times New Roman" w:cs="Times New Roman"/>
          <w:sz w:val="24"/>
          <w:szCs w:val="24"/>
        </w:rPr>
        <w:t xml:space="preserve">Serbest </w:t>
      </w:r>
      <w:r w:rsidR="004C10A1" w:rsidRPr="00F6179D">
        <w:rPr>
          <w:rFonts w:ascii="Times New Roman" w:hAnsi="Times New Roman" w:cs="Times New Roman"/>
          <w:sz w:val="24"/>
          <w:szCs w:val="24"/>
        </w:rPr>
        <w:t>Fon (</w:t>
      </w:r>
      <w:r w:rsidR="00BA1F9B" w:rsidRPr="00F6179D">
        <w:rPr>
          <w:rFonts w:ascii="Times New Roman" w:hAnsi="Times New Roman" w:cs="Times New Roman"/>
          <w:sz w:val="24"/>
          <w:szCs w:val="24"/>
        </w:rPr>
        <w:t>Hisse Senedi Yoğun Fon)</w:t>
      </w:r>
      <w:r w:rsidR="003B3582" w:rsidRPr="00F6179D">
        <w:rPr>
          <w:rFonts w:ascii="Times New Roman" w:hAnsi="Times New Roman" w:cs="Times New Roman"/>
          <w:sz w:val="24"/>
          <w:szCs w:val="24"/>
        </w:rPr>
        <w:t>,</w:t>
      </w:r>
      <w:r w:rsidRPr="00F6179D">
        <w:rPr>
          <w:rFonts w:ascii="Times New Roman" w:hAnsi="Times New Roman" w:cs="Times New Roman"/>
          <w:sz w:val="24"/>
          <w:szCs w:val="24"/>
        </w:rPr>
        <w:t xml:space="preserve"> </w:t>
      </w:r>
      <w:r w:rsidR="003B3582" w:rsidRPr="00F6179D">
        <w:rPr>
          <w:rFonts w:ascii="Times New Roman" w:hAnsi="Times New Roman" w:cs="Times New Roman"/>
          <w:sz w:val="24"/>
          <w:szCs w:val="24"/>
        </w:rPr>
        <w:t>2</w:t>
      </w:r>
      <w:r w:rsidR="000316C6" w:rsidRPr="00F6179D">
        <w:rPr>
          <w:rFonts w:ascii="Times New Roman" w:hAnsi="Times New Roman" w:cs="Times New Roman"/>
          <w:sz w:val="24"/>
          <w:szCs w:val="24"/>
        </w:rPr>
        <w:t>2</w:t>
      </w:r>
      <w:r w:rsidR="003B3582" w:rsidRPr="00F6179D">
        <w:rPr>
          <w:rFonts w:ascii="Times New Roman" w:hAnsi="Times New Roman" w:cs="Times New Roman"/>
          <w:sz w:val="24"/>
          <w:szCs w:val="24"/>
        </w:rPr>
        <w:t xml:space="preserve"> Ocak 2018 tarihinde “Hedef Portföy Kuzey Serbest Fon” </w:t>
      </w:r>
      <w:proofErr w:type="spellStart"/>
      <w:r w:rsidR="00D26E43" w:rsidRPr="00F6179D">
        <w:rPr>
          <w:rFonts w:ascii="Times New Roman" w:hAnsi="Times New Roman" w:cs="Times New Roman"/>
          <w:sz w:val="24"/>
          <w:szCs w:val="24"/>
        </w:rPr>
        <w:t>ünvanı</w:t>
      </w:r>
      <w:proofErr w:type="spellEnd"/>
      <w:r w:rsidR="009A2C37" w:rsidRPr="00F6179D">
        <w:rPr>
          <w:rFonts w:ascii="Times New Roman" w:hAnsi="Times New Roman" w:cs="Times New Roman"/>
          <w:sz w:val="24"/>
          <w:szCs w:val="24"/>
        </w:rPr>
        <w:t xml:space="preserve"> ile</w:t>
      </w:r>
      <w:r w:rsidR="003B3582" w:rsidRPr="00F6179D">
        <w:rPr>
          <w:rFonts w:ascii="Times New Roman" w:hAnsi="Times New Roman" w:cs="Times New Roman"/>
          <w:sz w:val="24"/>
          <w:szCs w:val="24"/>
        </w:rPr>
        <w:t xml:space="preserve"> kurulmuştur. </w:t>
      </w:r>
      <w:r w:rsidR="009A2C37" w:rsidRPr="00F6179D">
        <w:rPr>
          <w:rFonts w:ascii="Times New Roman" w:hAnsi="Times New Roman" w:cs="Times New Roman"/>
          <w:sz w:val="24"/>
          <w:szCs w:val="24"/>
        </w:rPr>
        <w:t>24 Eylül 2019 tarihinde</w:t>
      </w:r>
      <w:r w:rsidR="00D26E43" w:rsidRPr="00F6179D">
        <w:rPr>
          <w:rFonts w:ascii="Times New Roman" w:hAnsi="Times New Roman" w:cs="Times New Roman"/>
          <w:sz w:val="24"/>
          <w:szCs w:val="24"/>
        </w:rPr>
        <w:t>,</w:t>
      </w:r>
      <w:r w:rsidR="009A2C37" w:rsidRPr="00F6179D">
        <w:rPr>
          <w:rFonts w:ascii="Times New Roman" w:hAnsi="Times New Roman" w:cs="Times New Roman"/>
          <w:sz w:val="24"/>
          <w:szCs w:val="24"/>
        </w:rPr>
        <w:t xml:space="preserve"> Kamu Aydınlatma </w:t>
      </w:r>
      <w:r w:rsidR="00454750" w:rsidRPr="00F6179D">
        <w:rPr>
          <w:rFonts w:ascii="Times New Roman" w:hAnsi="Times New Roman" w:cs="Times New Roman"/>
          <w:sz w:val="24"/>
          <w:szCs w:val="24"/>
        </w:rPr>
        <w:t>Platformu (</w:t>
      </w:r>
      <w:r w:rsidR="009A2C37" w:rsidRPr="00F6179D">
        <w:rPr>
          <w:rFonts w:ascii="Times New Roman" w:hAnsi="Times New Roman" w:cs="Times New Roman"/>
          <w:sz w:val="24"/>
          <w:szCs w:val="24"/>
        </w:rPr>
        <w:t>KAP)’</w:t>
      </w:r>
      <w:proofErr w:type="spellStart"/>
      <w:r w:rsidR="009A2C37" w:rsidRPr="00F6179D">
        <w:rPr>
          <w:rFonts w:ascii="Times New Roman" w:hAnsi="Times New Roman" w:cs="Times New Roman"/>
          <w:sz w:val="24"/>
          <w:szCs w:val="24"/>
        </w:rPr>
        <w:t>nda</w:t>
      </w:r>
      <w:proofErr w:type="spellEnd"/>
      <w:r w:rsidR="009A2C37" w:rsidRPr="00F6179D">
        <w:rPr>
          <w:rFonts w:ascii="Times New Roman" w:hAnsi="Times New Roman" w:cs="Times New Roman"/>
          <w:sz w:val="24"/>
          <w:szCs w:val="24"/>
        </w:rPr>
        <w:t xml:space="preserve"> yayınlanan izahname ile </w:t>
      </w:r>
      <w:r w:rsidR="00D26E43" w:rsidRPr="00F6179D">
        <w:rPr>
          <w:rFonts w:ascii="Times New Roman" w:hAnsi="Times New Roman" w:cs="Times New Roman"/>
          <w:sz w:val="24"/>
          <w:szCs w:val="24"/>
        </w:rPr>
        <w:t xml:space="preserve">Fon’un </w:t>
      </w:r>
      <w:proofErr w:type="spellStart"/>
      <w:r w:rsidR="00D26E43" w:rsidRPr="00F6179D">
        <w:rPr>
          <w:rFonts w:ascii="Times New Roman" w:hAnsi="Times New Roman" w:cs="Times New Roman"/>
          <w:sz w:val="24"/>
          <w:szCs w:val="24"/>
        </w:rPr>
        <w:t>ünvanı</w:t>
      </w:r>
      <w:proofErr w:type="spellEnd"/>
      <w:r w:rsidR="00D26E43" w:rsidRPr="00F6179D">
        <w:rPr>
          <w:rFonts w:ascii="Times New Roman" w:hAnsi="Times New Roman" w:cs="Times New Roman"/>
          <w:sz w:val="24"/>
          <w:szCs w:val="24"/>
        </w:rPr>
        <w:t xml:space="preserve"> </w:t>
      </w:r>
      <w:r w:rsidR="009A2C37" w:rsidRPr="00F6179D">
        <w:rPr>
          <w:rFonts w:ascii="Times New Roman" w:hAnsi="Times New Roman" w:cs="Times New Roman"/>
          <w:sz w:val="24"/>
          <w:szCs w:val="24"/>
        </w:rPr>
        <w:t xml:space="preserve">“Hedef Portföy Kuzey Hisse Senedi Serbest </w:t>
      </w:r>
      <w:r w:rsidR="00454750" w:rsidRPr="00F6179D">
        <w:rPr>
          <w:rFonts w:ascii="Times New Roman" w:hAnsi="Times New Roman" w:cs="Times New Roman"/>
          <w:sz w:val="24"/>
          <w:szCs w:val="24"/>
        </w:rPr>
        <w:t>Fon (</w:t>
      </w:r>
      <w:r w:rsidR="009A2C37" w:rsidRPr="00F6179D">
        <w:rPr>
          <w:rFonts w:ascii="Times New Roman" w:hAnsi="Times New Roman" w:cs="Times New Roman"/>
          <w:sz w:val="24"/>
          <w:szCs w:val="24"/>
        </w:rPr>
        <w:t xml:space="preserve">Hisse Senedi Yoğun Fon)” olarak </w:t>
      </w:r>
      <w:r w:rsidR="00D26E43" w:rsidRPr="00F6179D">
        <w:rPr>
          <w:rFonts w:ascii="Times New Roman" w:hAnsi="Times New Roman" w:cs="Times New Roman"/>
          <w:sz w:val="24"/>
          <w:szCs w:val="24"/>
        </w:rPr>
        <w:t>değiştirilmiştir</w:t>
      </w:r>
      <w:r w:rsidR="00FE7D41" w:rsidRPr="00F6179D">
        <w:rPr>
          <w:rFonts w:ascii="Times New Roman" w:hAnsi="Times New Roman" w:cs="Times New Roman"/>
          <w:sz w:val="24"/>
          <w:szCs w:val="24"/>
        </w:rPr>
        <w:t>.</w:t>
      </w:r>
      <w:r w:rsidR="00FE7D41" w:rsidRPr="00FE7D41">
        <w:t xml:space="preserve"> </w:t>
      </w:r>
      <w:r w:rsidR="00FE7D41" w:rsidRPr="00F6179D">
        <w:rPr>
          <w:rFonts w:ascii="Times New Roman" w:hAnsi="Times New Roman" w:cs="Times New Roman"/>
          <w:sz w:val="24"/>
          <w:szCs w:val="24"/>
        </w:rPr>
        <w:t>Fon'un kurucusu ve yöneticisi Hedef Portföy Yönetimi A.Ş.(“Şirket”)’</w:t>
      </w:r>
      <w:proofErr w:type="spellStart"/>
      <w:r w:rsidR="00FE7D41" w:rsidRPr="00F6179D">
        <w:rPr>
          <w:rFonts w:ascii="Times New Roman" w:hAnsi="Times New Roman" w:cs="Times New Roman"/>
          <w:sz w:val="24"/>
          <w:szCs w:val="24"/>
        </w:rPr>
        <w:t>dir</w:t>
      </w:r>
      <w:proofErr w:type="spellEnd"/>
      <w:r w:rsidR="00FE7D41" w:rsidRPr="00F6179D">
        <w:rPr>
          <w:rFonts w:ascii="Times New Roman" w:hAnsi="Times New Roman" w:cs="Times New Roman"/>
          <w:sz w:val="24"/>
          <w:szCs w:val="24"/>
        </w:rPr>
        <w:t xml:space="preserve">. </w:t>
      </w:r>
      <w:r w:rsidR="00F6179D">
        <w:rPr>
          <w:rFonts w:ascii="Times New Roman" w:eastAsia="Times New Roman" w:hAnsi="Times New Roman" w:cs="Times New Roman"/>
          <w:sz w:val="24"/>
          <w:szCs w:val="24"/>
        </w:rPr>
        <w:t>Fon’un kurucusu ve yöneticisi Hedef Portföy Yönetimi A.Ş.(“Şirket”)’</w:t>
      </w:r>
      <w:proofErr w:type="spellStart"/>
      <w:r w:rsidR="00F6179D">
        <w:rPr>
          <w:rFonts w:ascii="Times New Roman" w:eastAsia="Times New Roman" w:hAnsi="Times New Roman" w:cs="Times New Roman"/>
          <w:sz w:val="24"/>
          <w:szCs w:val="24"/>
        </w:rPr>
        <w:t>dir</w:t>
      </w:r>
      <w:proofErr w:type="spellEnd"/>
      <w:r w:rsidR="00F6179D">
        <w:rPr>
          <w:rFonts w:ascii="Times New Roman" w:eastAsia="Times New Roman" w:hAnsi="Times New Roman" w:cs="Times New Roman"/>
          <w:sz w:val="24"/>
          <w:szCs w:val="24"/>
        </w:rPr>
        <w:t xml:space="preserve">. Şirket 2012 yılında kurulmuş olup, yatırım fonları, yatırım ortaklıkları, özel ve tüzel kişilere mevzuat hükümleri çerçevesinde portföy yönetim hizmeti vermektedir. Halka arz olmuş ve toplam fon değeri 31,275,521,186.49 Türk </w:t>
      </w:r>
      <w:proofErr w:type="gramStart"/>
      <w:r w:rsidR="00F6179D">
        <w:rPr>
          <w:rFonts w:ascii="Times New Roman" w:eastAsia="Times New Roman" w:hAnsi="Times New Roman" w:cs="Times New Roman"/>
          <w:sz w:val="24"/>
          <w:szCs w:val="24"/>
        </w:rPr>
        <w:t>Lirası</w:t>
      </w:r>
      <w:proofErr w:type="gramEnd"/>
      <w:r w:rsidR="00F6179D">
        <w:rPr>
          <w:rFonts w:ascii="Times New Roman" w:eastAsia="Times New Roman" w:hAnsi="Times New Roman" w:cs="Times New Roman"/>
          <w:sz w:val="24"/>
          <w:szCs w:val="24"/>
        </w:rPr>
        <w:t xml:space="preserve">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16B30E0E" w14:textId="642CFB26" w:rsidR="009149B7" w:rsidRPr="00F6179D" w:rsidRDefault="009149B7" w:rsidP="00F6179D">
      <w:pPr>
        <w:pStyle w:val="ListeParagraf"/>
        <w:spacing w:after="0"/>
        <w:jc w:val="both"/>
        <w:rPr>
          <w:rFonts w:ascii="Times New Roman" w:hAnsi="Times New Roman" w:cs="Times New Roman"/>
          <w:sz w:val="24"/>
          <w:szCs w:val="24"/>
        </w:rPr>
      </w:pPr>
    </w:p>
    <w:p w14:paraId="7EFBE328" w14:textId="77777777" w:rsidR="00440A16" w:rsidRPr="00440A16" w:rsidRDefault="00440A16" w:rsidP="00440A16">
      <w:pPr>
        <w:spacing w:after="0"/>
        <w:jc w:val="both"/>
        <w:rPr>
          <w:rFonts w:ascii="Times New Roman" w:hAnsi="Times New Roman" w:cs="Times New Roman"/>
          <w:sz w:val="24"/>
          <w:szCs w:val="24"/>
        </w:rPr>
      </w:pPr>
    </w:p>
    <w:p w14:paraId="6E2EDEAA" w14:textId="6408FA12" w:rsidR="00FF1215" w:rsidRPr="00D16AC6" w:rsidRDefault="00FF1215" w:rsidP="00032E31">
      <w:pPr>
        <w:pStyle w:val="ListeParagraf"/>
        <w:numPr>
          <w:ilvl w:val="0"/>
          <w:numId w:val="3"/>
        </w:numPr>
        <w:spacing w:after="0"/>
        <w:jc w:val="both"/>
        <w:rPr>
          <w:rFonts w:ascii="Times New Roman" w:hAnsi="Times New Roman" w:cs="Times New Roman"/>
          <w:sz w:val="24"/>
          <w:szCs w:val="24"/>
        </w:rPr>
      </w:pPr>
      <w:r w:rsidRPr="00D16AC6">
        <w:rPr>
          <w:rFonts w:ascii="Times New Roman" w:hAnsi="Times New Roman" w:cs="Times New Roman"/>
          <w:sz w:val="24"/>
          <w:szCs w:val="24"/>
        </w:rPr>
        <w:t>Fon</w:t>
      </w:r>
      <w:r w:rsidR="00ED76F3" w:rsidRPr="00D16AC6">
        <w:rPr>
          <w:rFonts w:ascii="Times New Roman" w:hAnsi="Times New Roman" w:cs="Times New Roman"/>
          <w:sz w:val="24"/>
          <w:szCs w:val="24"/>
        </w:rPr>
        <w:t>,</w:t>
      </w:r>
      <w:r w:rsidRPr="00D16AC6">
        <w:rPr>
          <w:rFonts w:ascii="Times New Roman" w:hAnsi="Times New Roman" w:cs="Times New Roman"/>
          <w:sz w:val="24"/>
          <w:szCs w:val="24"/>
        </w:rPr>
        <w:t xml:space="preserve"> </w:t>
      </w:r>
      <w:r w:rsidR="00C95471" w:rsidRPr="00D16AC6">
        <w:rPr>
          <w:rFonts w:ascii="Times New Roman" w:hAnsi="Times New Roman" w:cs="Times New Roman"/>
          <w:sz w:val="24"/>
          <w:szCs w:val="24"/>
        </w:rPr>
        <w:t xml:space="preserve">performans sunum </w:t>
      </w:r>
      <w:r w:rsidRPr="00FE7D41">
        <w:rPr>
          <w:rFonts w:ascii="Times New Roman" w:hAnsi="Times New Roman" w:cs="Times New Roman"/>
          <w:sz w:val="24"/>
          <w:szCs w:val="24"/>
        </w:rPr>
        <w:t xml:space="preserve">döneminde net </w:t>
      </w:r>
      <w:r w:rsidR="00C97E1E" w:rsidRPr="00FE7D41">
        <w:rPr>
          <w:rFonts w:ascii="Times New Roman" w:hAnsi="Times New Roman" w:cs="Times New Roman"/>
          <w:sz w:val="24"/>
          <w:szCs w:val="24"/>
        </w:rPr>
        <w:t>%</w:t>
      </w:r>
      <w:r w:rsidR="007B01C3">
        <w:rPr>
          <w:rFonts w:ascii="Times New Roman" w:hAnsi="Times New Roman" w:cs="Times New Roman"/>
          <w:sz w:val="24"/>
          <w:szCs w:val="24"/>
        </w:rPr>
        <w:t>-10,</w:t>
      </w:r>
      <w:r w:rsidR="001113CA">
        <w:rPr>
          <w:rFonts w:ascii="Times New Roman" w:hAnsi="Times New Roman" w:cs="Times New Roman"/>
          <w:sz w:val="24"/>
          <w:szCs w:val="24"/>
        </w:rPr>
        <w:t>92</w:t>
      </w:r>
      <w:r w:rsidR="007B01C3">
        <w:rPr>
          <w:rFonts w:ascii="Times New Roman" w:hAnsi="Times New Roman" w:cs="Times New Roman"/>
          <w:sz w:val="24"/>
          <w:szCs w:val="24"/>
        </w:rPr>
        <w:t xml:space="preserve"> </w:t>
      </w:r>
      <w:r w:rsidR="00FE7D41">
        <w:rPr>
          <w:rFonts w:ascii="Times New Roman" w:hAnsi="Times New Roman" w:cs="Times New Roman"/>
          <w:sz w:val="24"/>
          <w:szCs w:val="24"/>
        </w:rPr>
        <w:t>zarar</w:t>
      </w:r>
      <w:r w:rsidR="00D92C8B" w:rsidRPr="00D16AC6">
        <w:rPr>
          <w:rFonts w:ascii="Times New Roman" w:hAnsi="Times New Roman" w:cs="Times New Roman"/>
          <w:sz w:val="24"/>
          <w:szCs w:val="24"/>
        </w:rPr>
        <w:t xml:space="preserve"> </w:t>
      </w:r>
      <w:r w:rsidR="00ED76F3" w:rsidRPr="00D16AC6">
        <w:rPr>
          <w:rFonts w:ascii="Times New Roman" w:hAnsi="Times New Roman" w:cs="Times New Roman"/>
          <w:sz w:val="24"/>
          <w:szCs w:val="24"/>
        </w:rPr>
        <w:t>et</w:t>
      </w:r>
      <w:r w:rsidRPr="00D16AC6">
        <w:rPr>
          <w:rFonts w:ascii="Times New Roman" w:hAnsi="Times New Roman" w:cs="Times New Roman"/>
          <w:sz w:val="24"/>
          <w:szCs w:val="24"/>
        </w:rPr>
        <w:t>miştir.</w:t>
      </w:r>
    </w:p>
    <w:p w14:paraId="172106B6" w14:textId="77777777" w:rsidR="009149B7" w:rsidRPr="00D16AC6" w:rsidRDefault="009149B7" w:rsidP="009149B7">
      <w:pPr>
        <w:pStyle w:val="ListeParagraf"/>
        <w:rPr>
          <w:rFonts w:ascii="Times New Roman" w:hAnsi="Times New Roman" w:cs="Times New Roman"/>
          <w:sz w:val="24"/>
          <w:szCs w:val="24"/>
        </w:rPr>
      </w:pPr>
    </w:p>
    <w:p w14:paraId="690B3DC5" w14:textId="77777777" w:rsidR="00ED76F3" w:rsidRDefault="00C95471" w:rsidP="00032E31">
      <w:pPr>
        <w:pStyle w:val="ListeParagraf"/>
        <w:numPr>
          <w:ilvl w:val="0"/>
          <w:numId w:val="3"/>
        </w:numPr>
        <w:spacing w:after="0"/>
        <w:jc w:val="both"/>
        <w:rPr>
          <w:rFonts w:ascii="Times New Roman" w:hAnsi="Times New Roman" w:cs="Times New Roman"/>
          <w:sz w:val="24"/>
          <w:szCs w:val="24"/>
        </w:rPr>
      </w:pPr>
      <w:r w:rsidRPr="00D16AC6">
        <w:rPr>
          <w:rFonts w:ascii="Times New Roman" w:hAnsi="Times New Roman" w:cs="Times New Roman"/>
          <w:sz w:val="24"/>
          <w:szCs w:val="24"/>
        </w:rPr>
        <w:t xml:space="preserve">Performans sunum döneminde </w:t>
      </w:r>
      <w:r w:rsidR="00ED76F3" w:rsidRPr="00D16AC6">
        <w:rPr>
          <w:rFonts w:ascii="Times New Roman" w:hAnsi="Times New Roman" w:cs="Times New Roman"/>
          <w:sz w:val="24"/>
          <w:szCs w:val="24"/>
        </w:rPr>
        <w:t>yönetim ücretleri, vergi, saklama ücretleri ve diğer faaliyet giderlerinin ortalama fon portföy değerine oranının ağırlıklı ortalaması aşağıdaki gibidir.</w:t>
      </w:r>
    </w:p>
    <w:p w14:paraId="618347BA" w14:textId="77777777" w:rsidR="00037DF1" w:rsidRPr="00037DF1" w:rsidRDefault="00037DF1" w:rsidP="00037DF1">
      <w:pPr>
        <w:pStyle w:val="ListeParagraf"/>
        <w:rPr>
          <w:rFonts w:ascii="Times New Roman" w:hAnsi="Times New Roman" w:cs="Times New Roman"/>
          <w:sz w:val="24"/>
          <w:szCs w:val="24"/>
        </w:rPr>
      </w:pPr>
    </w:p>
    <w:p w14:paraId="57FEB56F" w14:textId="77777777" w:rsidR="00037DF1" w:rsidRPr="00D16AC6" w:rsidRDefault="00037DF1" w:rsidP="00037DF1">
      <w:pPr>
        <w:pStyle w:val="ListeParagraf"/>
        <w:spacing w:after="0"/>
        <w:jc w:val="both"/>
        <w:rPr>
          <w:rFonts w:ascii="Times New Roman" w:hAnsi="Times New Roman" w:cs="Times New Roman"/>
          <w:sz w:val="24"/>
          <w:szCs w:val="24"/>
        </w:rPr>
      </w:pPr>
    </w:p>
    <w:tbl>
      <w:tblPr>
        <w:tblW w:w="8664" w:type="dxa"/>
        <w:tblInd w:w="208" w:type="dxa"/>
        <w:tblCellMar>
          <w:left w:w="70" w:type="dxa"/>
          <w:right w:w="70" w:type="dxa"/>
        </w:tblCellMar>
        <w:tblLook w:val="04A0" w:firstRow="1" w:lastRow="0" w:firstColumn="1" w:lastColumn="0" w:noHBand="0" w:noVBand="1"/>
      </w:tblPr>
      <w:tblGrid>
        <w:gridCol w:w="3141"/>
        <w:gridCol w:w="2694"/>
        <w:gridCol w:w="2829"/>
      </w:tblGrid>
      <w:tr w:rsidR="00037DF1" w:rsidRPr="00037DF1" w14:paraId="0E55B7E9" w14:textId="77777777" w:rsidTr="00037DF1">
        <w:trPr>
          <w:trHeight w:val="585"/>
        </w:trPr>
        <w:tc>
          <w:tcPr>
            <w:tcW w:w="3141"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572EB12B"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Dönem Faaliyet Giderleri Dağılımı</w:t>
            </w:r>
          </w:p>
        </w:tc>
        <w:tc>
          <w:tcPr>
            <w:tcW w:w="2694" w:type="dxa"/>
            <w:tcBorders>
              <w:top w:val="single" w:sz="8" w:space="0" w:color="auto"/>
              <w:left w:val="nil"/>
              <w:bottom w:val="single" w:sz="4" w:space="0" w:color="auto"/>
              <w:right w:val="single" w:sz="4" w:space="0" w:color="auto"/>
            </w:tcBorders>
            <w:shd w:val="clear" w:color="auto" w:fill="auto"/>
            <w:vAlign w:val="center"/>
            <w:hideMark/>
          </w:tcPr>
          <w:p w14:paraId="354FA8A5"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Portföy Değerine Oranı (%)</w:t>
            </w:r>
          </w:p>
        </w:tc>
        <w:tc>
          <w:tcPr>
            <w:tcW w:w="2829" w:type="dxa"/>
            <w:tcBorders>
              <w:top w:val="single" w:sz="8" w:space="0" w:color="auto"/>
              <w:left w:val="nil"/>
              <w:bottom w:val="single" w:sz="4" w:space="0" w:color="auto"/>
              <w:right w:val="single" w:sz="8" w:space="0" w:color="auto"/>
            </w:tcBorders>
            <w:shd w:val="clear" w:color="auto" w:fill="auto"/>
            <w:vAlign w:val="center"/>
            <w:hideMark/>
          </w:tcPr>
          <w:p w14:paraId="4C059C9B"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Tutar (TL)</w:t>
            </w:r>
          </w:p>
        </w:tc>
      </w:tr>
      <w:tr w:rsidR="00037DF1" w:rsidRPr="00037DF1" w14:paraId="2348ED22"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097D11B5"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Yönetim Ücreti</w:t>
            </w:r>
          </w:p>
        </w:tc>
        <w:tc>
          <w:tcPr>
            <w:tcW w:w="2694" w:type="dxa"/>
            <w:tcBorders>
              <w:top w:val="nil"/>
              <w:left w:val="nil"/>
              <w:bottom w:val="single" w:sz="4" w:space="0" w:color="auto"/>
              <w:right w:val="single" w:sz="8" w:space="0" w:color="auto"/>
            </w:tcBorders>
            <w:shd w:val="clear" w:color="auto" w:fill="auto"/>
            <w:noWrap/>
            <w:vAlign w:val="bottom"/>
            <w:hideMark/>
          </w:tcPr>
          <w:p w14:paraId="1E1CF8BD"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1.49</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587F3609"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3,002,300.23</w:t>
            </w:r>
          </w:p>
        </w:tc>
      </w:tr>
      <w:tr w:rsidR="00037DF1" w:rsidRPr="00037DF1" w14:paraId="3B63EEB6"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3FBE007A"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Komisyon ve Diğer İşlem Ücretleri</w:t>
            </w:r>
          </w:p>
        </w:tc>
        <w:tc>
          <w:tcPr>
            <w:tcW w:w="2694" w:type="dxa"/>
            <w:tcBorders>
              <w:top w:val="nil"/>
              <w:left w:val="nil"/>
              <w:bottom w:val="single" w:sz="4" w:space="0" w:color="auto"/>
              <w:right w:val="single" w:sz="8" w:space="0" w:color="auto"/>
            </w:tcBorders>
            <w:shd w:val="clear" w:color="auto" w:fill="auto"/>
            <w:noWrap/>
            <w:vAlign w:val="bottom"/>
            <w:hideMark/>
          </w:tcPr>
          <w:p w14:paraId="77251AF7"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0.33</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65885CFB"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674,474.07</w:t>
            </w:r>
          </w:p>
        </w:tc>
      </w:tr>
      <w:tr w:rsidR="00037DF1" w:rsidRPr="00037DF1" w14:paraId="4AFB4E29"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03C99AAE"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Saklama Ücreti</w:t>
            </w:r>
          </w:p>
        </w:tc>
        <w:tc>
          <w:tcPr>
            <w:tcW w:w="2694" w:type="dxa"/>
            <w:tcBorders>
              <w:top w:val="nil"/>
              <w:left w:val="nil"/>
              <w:bottom w:val="single" w:sz="4" w:space="0" w:color="auto"/>
              <w:right w:val="single" w:sz="8" w:space="0" w:color="auto"/>
            </w:tcBorders>
            <w:shd w:val="clear" w:color="auto" w:fill="auto"/>
            <w:noWrap/>
            <w:vAlign w:val="bottom"/>
            <w:hideMark/>
          </w:tcPr>
          <w:p w14:paraId="683FC187"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0.07</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70F03A59"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144,693.22</w:t>
            </w:r>
          </w:p>
        </w:tc>
      </w:tr>
      <w:tr w:rsidR="00037DF1" w:rsidRPr="00037DF1" w14:paraId="1267F3DD"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25F24F0A"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Kurul Ücretleri</w:t>
            </w:r>
          </w:p>
        </w:tc>
        <w:tc>
          <w:tcPr>
            <w:tcW w:w="2694" w:type="dxa"/>
            <w:tcBorders>
              <w:top w:val="nil"/>
              <w:left w:val="nil"/>
              <w:bottom w:val="single" w:sz="4" w:space="0" w:color="auto"/>
              <w:right w:val="single" w:sz="8" w:space="0" w:color="auto"/>
            </w:tcBorders>
            <w:shd w:val="clear" w:color="auto" w:fill="auto"/>
            <w:noWrap/>
            <w:vAlign w:val="bottom"/>
            <w:hideMark/>
          </w:tcPr>
          <w:p w14:paraId="5BCF0BCC"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0.01</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310470CB"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18,369.13</w:t>
            </w:r>
          </w:p>
        </w:tc>
      </w:tr>
      <w:tr w:rsidR="00037DF1" w:rsidRPr="00037DF1" w14:paraId="704FCEAB"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39033024"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Bağımsız Denetim Ücreti</w:t>
            </w:r>
          </w:p>
        </w:tc>
        <w:tc>
          <w:tcPr>
            <w:tcW w:w="2694" w:type="dxa"/>
            <w:tcBorders>
              <w:top w:val="nil"/>
              <w:left w:val="nil"/>
              <w:bottom w:val="single" w:sz="4" w:space="0" w:color="auto"/>
              <w:right w:val="single" w:sz="8" w:space="0" w:color="auto"/>
            </w:tcBorders>
            <w:shd w:val="clear" w:color="auto" w:fill="auto"/>
            <w:noWrap/>
            <w:vAlign w:val="bottom"/>
            <w:hideMark/>
          </w:tcPr>
          <w:p w14:paraId="4A5A9A29"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0.01</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10D902DF"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10,584.88</w:t>
            </w:r>
          </w:p>
        </w:tc>
      </w:tr>
      <w:tr w:rsidR="00037DF1" w:rsidRPr="00037DF1" w14:paraId="01B68C74" w14:textId="77777777" w:rsidTr="00037DF1">
        <w:trPr>
          <w:trHeight w:val="292"/>
        </w:trPr>
        <w:tc>
          <w:tcPr>
            <w:tcW w:w="3141" w:type="dxa"/>
            <w:tcBorders>
              <w:top w:val="nil"/>
              <w:left w:val="single" w:sz="8" w:space="0" w:color="auto"/>
              <w:bottom w:val="single" w:sz="4" w:space="0" w:color="auto"/>
              <w:right w:val="single" w:sz="4" w:space="0" w:color="auto"/>
            </w:tcBorders>
            <w:shd w:val="clear" w:color="auto" w:fill="auto"/>
            <w:noWrap/>
            <w:vAlign w:val="bottom"/>
            <w:hideMark/>
          </w:tcPr>
          <w:p w14:paraId="40B87606"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Diğer Giderler</w:t>
            </w:r>
          </w:p>
        </w:tc>
        <w:tc>
          <w:tcPr>
            <w:tcW w:w="2694" w:type="dxa"/>
            <w:tcBorders>
              <w:top w:val="nil"/>
              <w:left w:val="nil"/>
              <w:bottom w:val="single" w:sz="4" w:space="0" w:color="auto"/>
              <w:right w:val="single" w:sz="8" w:space="0" w:color="auto"/>
            </w:tcBorders>
            <w:shd w:val="clear" w:color="auto" w:fill="auto"/>
            <w:noWrap/>
            <w:vAlign w:val="bottom"/>
            <w:hideMark/>
          </w:tcPr>
          <w:p w14:paraId="7F94A06A"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0.04</w:t>
            </w:r>
          </w:p>
        </w:tc>
        <w:tc>
          <w:tcPr>
            <w:tcW w:w="2829" w:type="dxa"/>
            <w:tcBorders>
              <w:top w:val="nil"/>
              <w:left w:val="single" w:sz="4" w:space="0" w:color="auto"/>
              <w:bottom w:val="single" w:sz="4" w:space="0" w:color="auto"/>
              <w:right w:val="single" w:sz="8" w:space="0" w:color="auto"/>
            </w:tcBorders>
            <w:shd w:val="clear" w:color="auto" w:fill="auto"/>
            <w:noWrap/>
            <w:vAlign w:val="bottom"/>
            <w:hideMark/>
          </w:tcPr>
          <w:p w14:paraId="03DAF35B"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73,421.70</w:t>
            </w:r>
          </w:p>
        </w:tc>
      </w:tr>
      <w:tr w:rsidR="00037DF1" w:rsidRPr="00037DF1" w14:paraId="699FB2B6" w14:textId="77777777" w:rsidTr="00037DF1">
        <w:trPr>
          <w:trHeight w:val="306"/>
        </w:trPr>
        <w:tc>
          <w:tcPr>
            <w:tcW w:w="3141" w:type="dxa"/>
            <w:tcBorders>
              <w:top w:val="nil"/>
              <w:left w:val="single" w:sz="8" w:space="0" w:color="auto"/>
              <w:bottom w:val="single" w:sz="8" w:space="0" w:color="auto"/>
              <w:right w:val="single" w:sz="4" w:space="0" w:color="auto"/>
            </w:tcBorders>
            <w:shd w:val="clear" w:color="auto" w:fill="auto"/>
            <w:noWrap/>
            <w:vAlign w:val="bottom"/>
            <w:hideMark/>
          </w:tcPr>
          <w:p w14:paraId="5336FFED" w14:textId="77777777" w:rsidR="00037DF1" w:rsidRPr="00037DF1" w:rsidRDefault="00037DF1" w:rsidP="00037DF1">
            <w:pPr>
              <w:spacing w:after="0" w:line="240" w:lineRule="auto"/>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Toplam</w:t>
            </w:r>
          </w:p>
        </w:tc>
        <w:tc>
          <w:tcPr>
            <w:tcW w:w="2694" w:type="dxa"/>
            <w:tcBorders>
              <w:top w:val="nil"/>
              <w:left w:val="nil"/>
              <w:bottom w:val="single" w:sz="8" w:space="0" w:color="auto"/>
              <w:right w:val="single" w:sz="4" w:space="0" w:color="auto"/>
            </w:tcBorders>
            <w:shd w:val="clear" w:color="auto" w:fill="auto"/>
            <w:noWrap/>
            <w:vAlign w:val="bottom"/>
            <w:hideMark/>
          </w:tcPr>
          <w:p w14:paraId="00051360"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1.94</w:t>
            </w:r>
          </w:p>
        </w:tc>
        <w:tc>
          <w:tcPr>
            <w:tcW w:w="2829" w:type="dxa"/>
            <w:tcBorders>
              <w:top w:val="nil"/>
              <w:left w:val="nil"/>
              <w:bottom w:val="single" w:sz="8" w:space="0" w:color="auto"/>
              <w:right w:val="single" w:sz="8" w:space="0" w:color="auto"/>
            </w:tcBorders>
            <w:shd w:val="clear" w:color="auto" w:fill="auto"/>
            <w:noWrap/>
            <w:vAlign w:val="bottom"/>
            <w:hideMark/>
          </w:tcPr>
          <w:p w14:paraId="5DC5000C"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3,923,843.23</w:t>
            </w:r>
          </w:p>
        </w:tc>
      </w:tr>
      <w:tr w:rsidR="00037DF1" w:rsidRPr="00037DF1" w14:paraId="747BF777" w14:textId="77777777" w:rsidTr="00037DF1">
        <w:trPr>
          <w:trHeight w:val="306"/>
        </w:trPr>
        <w:tc>
          <w:tcPr>
            <w:tcW w:w="3141" w:type="dxa"/>
            <w:tcBorders>
              <w:top w:val="nil"/>
              <w:left w:val="nil"/>
              <w:bottom w:val="nil"/>
              <w:right w:val="nil"/>
            </w:tcBorders>
            <w:shd w:val="clear" w:color="auto" w:fill="auto"/>
            <w:noWrap/>
            <w:vAlign w:val="bottom"/>
            <w:hideMark/>
          </w:tcPr>
          <w:p w14:paraId="2E97DC77"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p>
        </w:tc>
        <w:tc>
          <w:tcPr>
            <w:tcW w:w="2694" w:type="dxa"/>
            <w:tcBorders>
              <w:top w:val="nil"/>
              <w:left w:val="nil"/>
              <w:bottom w:val="nil"/>
              <w:right w:val="nil"/>
            </w:tcBorders>
            <w:shd w:val="clear" w:color="auto" w:fill="auto"/>
            <w:noWrap/>
            <w:vAlign w:val="bottom"/>
            <w:hideMark/>
          </w:tcPr>
          <w:p w14:paraId="12F18DBC" w14:textId="77777777" w:rsidR="00037DF1" w:rsidRPr="00037DF1" w:rsidRDefault="00037DF1" w:rsidP="00037DF1">
            <w:pPr>
              <w:spacing w:after="0" w:line="240" w:lineRule="auto"/>
              <w:rPr>
                <w:rFonts w:ascii="Times New Roman" w:eastAsia="Times New Roman" w:hAnsi="Times New Roman" w:cs="Times New Roman"/>
                <w:sz w:val="20"/>
                <w:szCs w:val="20"/>
                <w:lang w:eastAsia="tr-TR"/>
              </w:rPr>
            </w:pPr>
          </w:p>
        </w:tc>
        <w:tc>
          <w:tcPr>
            <w:tcW w:w="2829" w:type="dxa"/>
            <w:tcBorders>
              <w:top w:val="nil"/>
              <w:left w:val="nil"/>
              <w:bottom w:val="nil"/>
              <w:right w:val="nil"/>
            </w:tcBorders>
            <w:shd w:val="clear" w:color="auto" w:fill="auto"/>
            <w:noWrap/>
            <w:vAlign w:val="bottom"/>
            <w:hideMark/>
          </w:tcPr>
          <w:p w14:paraId="57D72A3B" w14:textId="77777777" w:rsidR="00037DF1" w:rsidRPr="00037DF1" w:rsidRDefault="00037DF1" w:rsidP="00037DF1">
            <w:pPr>
              <w:spacing w:after="0" w:line="240" w:lineRule="auto"/>
              <w:rPr>
                <w:rFonts w:ascii="Times New Roman" w:eastAsia="Times New Roman" w:hAnsi="Times New Roman" w:cs="Times New Roman"/>
                <w:sz w:val="20"/>
                <w:szCs w:val="20"/>
                <w:lang w:eastAsia="tr-TR"/>
              </w:rPr>
            </w:pPr>
          </w:p>
        </w:tc>
      </w:tr>
      <w:tr w:rsidR="00037DF1" w:rsidRPr="00037DF1" w14:paraId="4C6266DC" w14:textId="77777777" w:rsidTr="00037DF1">
        <w:trPr>
          <w:trHeight w:val="292"/>
        </w:trPr>
        <w:tc>
          <w:tcPr>
            <w:tcW w:w="8664"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2D18EDC" w14:textId="77777777" w:rsidR="00037DF1" w:rsidRPr="00037DF1" w:rsidRDefault="00037DF1" w:rsidP="00037DF1">
            <w:pPr>
              <w:spacing w:after="0" w:line="240" w:lineRule="auto"/>
              <w:jc w:val="center"/>
              <w:rPr>
                <w:rFonts w:ascii="Times New Roman" w:eastAsia="Times New Roman" w:hAnsi="Times New Roman" w:cs="Times New Roman"/>
                <w:b/>
                <w:bCs/>
                <w:color w:val="000000"/>
                <w:sz w:val="24"/>
                <w:szCs w:val="24"/>
                <w:lang w:eastAsia="tr-TR"/>
              </w:rPr>
            </w:pPr>
            <w:r w:rsidRPr="00037DF1">
              <w:rPr>
                <w:rFonts w:ascii="Times New Roman" w:eastAsia="Times New Roman" w:hAnsi="Times New Roman" w:cs="Times New Roman"/>
                <w:b/>
                <w:bCs/>
                <w:color w:val="000000"/>
                <w:sz w:val="24"/>
                <w:szCs w:val="24"/>
                <w:lang w:eastAsia="tr-TR"/>
              </w:rPr>
              <w:t xml:space="preserve">01 </w:t>
            </w:r>
            <w:proofErr w:type="gramStart"/>
            <w:r w:rsidRPr="00037DF1">
              <w:rPr>
                <w:rFonts w:ascii="Times New Roman" w:eastAsia="Times New Roman" w:hAnsi="Times New Roman" w:cs="Times New Roman"/>
                <w:b/>
                <w:bCs/>
                <w:color w:val="000000"/>
                <w:sz w:val="24"/>
                <w:szCs w:val="24"/>
                <w:lang w:eastAsia="tr-TR"/>
              </w:rPr>
              <w:t>Ocak -</w:t>
            </w:r>
            <w:proofErr w:type="gramEnd"/>
            <w:r w:rsidRPr="00037DF1">
              <w:rPr>
                <w:rFonts w:ascii="Times New Roman" w:eastAsia="Times New Roman" w:hAnsi="Times New Roman" w:cs="Times New Roman"/>
                <w:b/>
                <w:bCs/>
                <w:color w:val="000000"/>
                <w:sz w:val="24"/>
                <w:szCs w:val="24"/>
                <w:lang w:eastAsia="tr-TR"/>
              </w:rPr>
              <w:t xml:space="preserve"> 30 Haziran 2024</w:t>
            </w:r>
          </w:p>
        </w:tc>
      </w:tr>
      <w:tr w:rsidR="00037DF1" w:rsidRPr="00037DF1" w14:paraId="374ED80D" w14:textId="77777777" w:rsidTr="00037DF1">
        <w:trPr>
          <w:trHeight w:val="292"/>
        </w:trPr>
        <w:tc>
          <w:tcPr>
            <w:tcW w:w="58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610F710" w14:textId="77777777" w:rsidR="00037DF1" w:rsidRPr="00037DF1" w:rsidRDefault="00037DF1" w:rsidP="00037DF1">
            <w:pPr>
              <w:spacing w:after="0" w:line="240" w:lineRule="auto"/>
              <w:rPr>
                <w:rFonts w:ascii="Times New Roman" w:eastAsia="Times New Roman" w:hAnsi="Times New Roman" w:cs="Times New Roman"/>
                <w:sz w:val="24"/>
                <w:szCs w:val="24"/>
                <w:lang w:eastAsia="tr-TR"/>
              </w:rPr>
            </w:pPr>
            <w:r w:rsidRPr="00037DF1">
              <w:rPr>
                <w:rFonts w:ascii="Times New Roman" w:eastAsia="Times New Roman" w:hAnsi="Times New Roman" w:cs="Times New Roman"/>
                <w:sz w:val="24"/>
                <w:szCs w:val="24"/>
                <w:lang w:eastAsia="tr-TR"/>
              </w:rPr>
              <w:t>Ortalama Fon Portföy Değeri</w:t>
            </w:r>
          </w:p>
        </w:tc>
        <w:tc>
          <w:tcPr>
            <w:tcW w:w="2829" w:type="dxa"/>
            <w:tcBorders>
              <w:top w:val="nil"/>
              <w:left w:val="nil"/>
              <w:bottom w:val="single" w:sz="4" w:space="0" w:color="auto"/>
              <w:right w:val="single" w:sz="8" w:space="0" w:color="auto"/>
            </w:tcBorders>
            <w:shd w:val="clear" w:color="auto" w:fill="auto"/>
            <w:noWrap/>
            <w:vAlign w:val="bottom"/>
            <w:hideMark/>
          </w:tcPr>
          <w:p w14:paraId="03E3054C"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201,915,480.79</w:t>
            </w:r>
          </w:p>
        </w:tc>
      </w:tr>
      <w:tr w:rsidR="00037DF1" w:rsidRPr="00037DF1" w14:paraId="205FE8A4" w14:textId="77777777" w:rsidTr="00037DF1">
        <w:trPr>
          <w:trHeight w:val="292"/>
        </w:trPr>
        <w:tc>
          <w:tcPr>
            <w:tcW w:w="583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6C34156" w14:textId="77777777" w:rsidR="00037DF1" w:rsidRPr="00037DF1" w:rsidRDefault="00037DF1" w:rsidP="00037DF1">
            <w:pPr>
              <w:spacing w:after="0" w:line="240" w:lineRule="auto"/>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Toplam Faaliyet Giderleri</w:t>
            </w:r>
          </w:p>
        </w:tc>
        <w:tc>
          <w:tcPr>
            <w:tcW w:w="2829" w:type="dxa"/>
            <w:tcBorders>
              <w:top w:val="nil"/>
              <w:left w:val="nil"/>
              <w:bottom w:val="single" w:sz="4" w:space="0" w:color="auto"/>
              <w:right w:val="single" w:sz="8" w:space="0" w:color="auto"/>
            </w:tcBorders>
            <w:shd w:val="clear" w:color="auto" w:fill="auto"/>
            <w:noWrap/>
            <w:vAlign w:val="bottom"/>
            <w:hideMark/>
          </w:tcPr>
          <w:p w14:paraId="6BAE7F8B" w14:textId="77777777" w:rsidR="00037DF1" w:rsidRPr="00037DF1" w:rsidRDefault="00037DF1" w:rsidP="00037DF1">
            <w:pPr>
              <w:spacing w:after="0" w:line="240" w:lineRule="auto"/>
              <w:jc w:val="center"/>
              <w:rPr>
                <w:rFonts w:ascii="Times New Roman" w:eastAsia="Times New Roman" w:hAnsi="Times New Roman" w:cs="Times New Roman"/>
                <w:color w:val="000000"/>
                <w:sz w:val="24"/>
                <w:szCs w:val="24"/>
                <w:lang w:eastAsia="tr-TR"/>
              </w:rPr>
            </w:pPr>
            <w:r w:rsidRPr="00037DF1">
              <w:rPr>
                <w:rFonts w:ascii="Times New Roman" w:eastAsia="Times New Roman" w:hAnsi="Times New Roman" w:cs="Times New Roman"/>
                <w:color w:val="000000"/>
                <w:sz w:val="24"/>
                <w:szCs w:val="24"/>
                <w:lang w:eastAsia="tr-TR"/>
              </w:rPr>
              <w:t>3,923,843.23</w:t>
            </w:r>
          </w:p>
        </w:tc>
      </w:tr>
      <w:tr w:rsidR="00037DF1" w:rsidRPr="00037DF1" w14:paraId="43BBC51F" w14:textId="77777777" w:rsidTr="00037DF1">
        <w:trPr>
          <w:trHeight w:val="306"/>
        </w:trPr>
        <w:tc>
          <w:tcPr>
            <w:tcW w:w="583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1A6C99D9" w14:textId="77777777" w:rsidR="00037DF1" w:rsidRPr="00037DF1" w:rsidRDefault="00037DF1" w:rsidP="00037DF1">
            <w:pPr>
              <w:spacing w:after="0" w:line="240" w:lineRule="auto"/>
              <w:rPr>
                <w:rFonts w:ascii="Times New Roman" w:eastAsia="Times New Roman" w:hAnsi="Times New Roman" w:cs="Times New Roman"/>
                <w:sz w:val="24"/>
                <w:szCs w:val="24"/>
                <w:lang w:eastAsia="tr-TR"/>
              </w:rPr>
            </w:pPr>
            <w:r w:rsidRPr="00037DF1">
              <w:rPr>
                <w:rFonts w:ascii="Times New Roman" w:eastAsia="Times New Roman" w:hAnsi="Times New Roman" w:cs="Times New Roman"/>
                <w:sz w:val="24"/>
                <w:szCs w:val="24"/>
                <w:lang w:eastAsia="tr-TR"/>
              </w:rPr>
              <w:t>Toplam Faaliyet Giderleri / Ortalama Portföy Değeri (%)</w:t>
            </w:r>
          </w:p>
        </w:tc>
        <w:tc>
          <w:tcPr>
            <w:tcW w:w="2829" w:type="dxa"/>
            <w:tcBorders>
              <w:top w:val="nil"/>
              <w:left w:val="nil"/>
              <w:bottom w:val="single" w:sz="8" w:space="0" w:color="auto"/>
              <w:right w:val="single" w:sz="8" w:space="0" w:color="auto"/>
            </w:tcBorders>
            <w:shd w:val="clear" w:color="auto" w:fill="auto"/>
            <w:noWrap/>
            <w:vAlign w:val="bottom"/>
            <w:hideMark/>
          </w:tcPr>
          <w:p w14:paraId="5356CB22" w14:textId="77777777" w:rsidR="00037DF1" w:rsidRPr="00037DF1" w:rsidRDefault="00037DF1" w:rsidP="00037DF1">
            <w:pPr>
              <w:spacing w:after="0" w:line="240" w:lineRule="auto"/>
              <w:jc w:val="center"/>
              <w:rPr>
                <w:rFonts w:ascii="Times New Roman" w:eastAsia="Times New Roman" w:hAnsi="Times New Roman" w:cs="Times New Roman"/>
                <w:sz w:val="24"/>
                <w:szCs w:val="24"/>
                <w:lang w:eastAsia="tr-TR"/>
              </w:rPr>
            </w:pPr>
            <w:r w:rsidRPr="00037DF1">
              <w:rPr>
                <w:rFonts w:ascii="Times New Roman" w:eastAsia="Times New Roman" w:hAnsi="Times New Roman" w:cs="Times New Roman"/>
                <w:sz w:val="24"/>
                <w:szCs w:val="24"/>
                <w:lang w:eastAsia="tr-TR"/>
              </w:rPr>
              <w:t>1.94</w:t>
            </w:r>
          </w:p>
        </w:tc>
      </w:tr>
    </w:tbl>
    <w:p w14:paraId="56FEDD42" w14:textId="77777777" w:rsidR="002F722C" w:rsidRPr="00D16AC6" w:rsidRDefault="00CC7520" w:rsidP="00CC7520">
      <w:pPr>
        <w:pStyle w:val="ListeParagraf"/>
        <w:spacing w:after="0"/>
        <w:rPr>
          <w:rFonts w:ascii="Times New Roman" w:hAnsi="Times New Roman" w:cs="Times New Roman"/>
          <w:sz w:val="24"/>
          <w:szCs w:val="24"/>
        </w:rPr>
      </w:pPr>
      <w:r w:rsidRPr="00D16AC6">
        <w:rPr>
          <w:rFonts w:ascii="Times New Roman" w:hAnsi="Times New Roman" w:cs="Times New Roman"/>
          <w:sz w:val="24"/>
          <w:szCs w:val="24"/>
        </w:rPr>
        <w:t xml:space="preserve"> </w:t>
      </w:r>
    </w:p>
    <w:p w14:paraId="6F4D9D9C" w14:textId="5A2BA251" w:rsidR="00CC7520" w:rsidRPr="00D16AC6" w:rsidRDefault="00CC7520" w:rsidP="00CC7520">
      <w:pPr>
        <w:pStyle w:val="ListeParagraf"/>
        <w:spacing w:after="0"/>
        <w:rPr>
          <w:rFonts w:ascii="Times New Roman" w:hAnsi="Times New Roman" w:cs="Times New Roman"/>
          <w:sz w:val="24"/>
          <w:szCs w:val="24"/>
        </w:rPr>
      </w:pPr>
    </w:p>
    <w:p w14:paraId="37B164F1" w14:textId="736DB1A3" w:rsidR="00CC7520" w:rsidRPr="00D16AC6" w:rsidRDefault="00CC7520" w:rsidP="004B5155">
      <w:pPr>
        <w:spacing w:after="0"/>
        <w:rPr>
          <w:rFonts w:ascii="Times New Roman" w:hAnsi="Times New Roman" w:cs="Times New Roman"/>
          <w:sz w:val="24"/>
          <w:szCs w:val="24"/>
        </w:rPr>
      </w:pPr>
    </w:p>
    <w:p w14:paraId="737CBCBF" w14:textId="77777777" w:rsidR="004B5155" w:rsidRPr="00D16AC6" w:rsidRDefault="004B5155" w:rsidP="00CC7520">
      <w:pPr>
        <w:pStyle w:val="ListeParagraf"/>
        <w:spacing w:after="0"/>
        <w:rPr>
          <w:rFonts w:ascii="Times New Roman" w:hAnsi="Times New Roman" w:cs="Times New Roman"/>
          <w:sz w:val="24"/>
          <w:szCs w:val="24"/>
        </w:rPr>
      </w:pPr>
    </w:p>
    <w:p w14:paraId="2B7A4C97" w14:textId="2FA238F6" w:rsidR="002324C9" w:rsidRPr="00D16AC6" w:rsidRDefault="002324C9" w:rsidP="00CC7520">
      <w:pPr>
        <w:pStyle w:val="ListeParagraf"/>
        <w:spacing w:after="0"/>
        <w:rPr>
          <w:rFonts w:ascii="Times New Roman" w:hAnsi="Times New Roman" w:cs="Times New Roman"/>
          <w:sz w:val="24"/>
          <w:szCs w:val="24"/>
        </w:rPr>
      </w:pPr>
    </w:p>
    <w:p w14:paraId="0DD90AEF" w14:textId="2BC0F210" w:rsidR="00CC7520" w:rsidRPr="00D16AC6" w:rsidRDefault="008003DC" w:rsidP="00CC7520">
      <w:pPr>
        <w:pStyle w:val="ListeParagraf"/>
        <w:numPr>
          <w:ilvl w:val="0"/>
          <w:numId w:val="3"/>
        </w:numPr>
        <w:spacing w:after="0"/>
        <w:rPr>
          <w:rFonts w:ascii="Times New Roman" w:hAnsi="Times New Roman" w:cs="Times New Roman"/>
          <w:sz w:val="24"/>
          <w:szCs w:val="24"/>
        </w:rPr>
      </w:pPr>
      <w:r w:rsidRPr="00D16AC6">
        <w:rPr>
          <w:rFonts w:ascii="Times New Roman" w:hAnsi="Times New Roman" w:cs="Times New Roman"/>
          <w:sz w:val="24"/>
          <w:szCs w:val="24"/>
        </w:rPr>
        <w:t>P</w:t>
      </w:r>
      <w:r w:rsidR="00CC7520" w:rsidRPr="00D16AC6">
        <w:rPr>
          <w:rFonts w:ascii="Times New Roman" w:hAnsi="Times New Roman" w:cs="Times New Roman"/>
          <w:sz w:val="24"/>
          <w:szCs w:val="24"/>
        </w:rPr>
        <w:t>erformans sunum dönemi içinde eşik değerinde herhangi bir değişiklik yapılmamıştır.</w:t>
      </w:r>
    </w:p>
    <w:p w14:paraId="7FD48943" w14:textId="77777777" w:rsidR="00B23770" w:rsidRPr="00D16AC6" w:rsidRDefault="00B23770" w:rsidP="00B23770">
      <w:pPr>
        <w:spacing w:after="0"/>
        <w:rPr>
          <w:rFonts w:ascii="Times New Roman" w:hAnsi="Times New Roman" w:cs="Times New Roman"/>
          <w:sz w:val="24"/>
          <w:szCs w:val="24"/>
        </w:rPr>
      </w:pPr>
    </w:p>
    <w:p w14:paraId="65A079C8" w14:textId="77777777" w:rsidR="00B23770" w:rsidRPr="00D16AC6" w:rsidRDefault="00B23770" w:rsidP="00B23770">
      <w:pPr>
        <w:pStyle w:val="ListeParagraf"/>
        <w:numPr>
          <w:ilvl w:val="0"/>
          <w:numId w:val="3"/>
        </w:numPr>
        <w:tabs>
          <w:tab w:val="left" w:pos="426"/>
          <w:tab w:val="left" w:pos="9356"/>
        </w:tabs>
        <w:jc w:val="both"/>
        <w:rPr>
          <w:rFonts w:ascii="Times New Roman" w:hAnsi="Times New Roman" w:cs="Times New Roman"/>
          <w:sz w:val="24"/>
          <w:szCs w:val="24"/>
        </w:rPr>
      </w:pPr>
      <w:bookmarkStart w:id="0" w:name="_Hlk61278601"/>
      <w:r w:rsidRPr="00D16AC6">
        <w:rPr>
          <w:rFonts w:ascii="Times New Roman" w:hAnsi="Times New Roman" w:cs="Times New Roman"/>
          <w:b/>
          <w:bCs/>
          <w:sz w:val="24"/>
          <w:szCs w:val="24"/>
        </w:rPr>
        <w:t>a)</w:t>
      </w:r>
      <w:r w:rsidRPr="00D16AC6">
        <w:rPr>
          <w:rFonts w:ascii="Times New Roman" w:hAnsi="Times New Roman" w:cs="Times New Roman"/>
          <w:sz w:val="24"/>
          <w:szCs w:val="24"/>
        </w:rPr>
        <w:t xml:space="preserve"> </w:t>
      </w:r>
      <w:r w:rsidRPr="00D16AC6">
        <w:rPr>
          <w:rFonts w:ascii="Times New Roman" w:hAnsi="Times New Roman" w:cs="Times New Roman"/>
          <w:b/>
          <w:bCs/>
          <w:sz w:val="24"/>
          <w:szCs w:val="24"/>
        </w:rPr>
        <w:t>Kurumlar Vergisi Düzenlemesi Açısından:</w:t>
      </w:r>
      <w:r w:rsidRPr="00D16AC6">
        <w:rPr>
          <w:rFonts w:ascii="Times New Roman" w:hAnsi="Times New Roman" w:cs="Times New Roman"/>
          <w:sz w:val="24"/>
          <w:szCs w:val="24"/>
        </w:rPr>
        <w:t xml:space="preserve"> 5520 sayılı Kurumlar Vergisi Kanunu’nun 5'inci maddesinin 1 numaralı bendinin (d) alt bendi uyarınca, menkul kıymet yatırım fonlarının portföy işletmeciliğinden doğan kazançları kurumlar vergisinden istisnadır. </w:t>
      </w:r>
    </w:p>
    <w:p w14:paraId="486AF9E1" w14:textId="7005E516" w:rsidR="008A60CB" w:rsidRPr="00D16AC6" w:rsidRDefault="00B23770" w:rsidP="00B23770">
      <w:pPr>
        <w:pStyle w:val="ListeParagraf"/>
        <w:tabs>
          <w:tab w:val="left" w:pos="426"/>
          <w:tab w:val="left" w:pos="9356"/>
        </w:tabs>
        <w:jc w:val="both"/>
        <w:rPr>
          <w:rFonts w:ascii="Times New Roman" w:hAnsi="Times New Roman" w:cs="Times New Roman"/>
          <w:sz w:val="24"/>
          <w:szCs w:val="24"/>
        </w:rPr>
      </w:pPr>
      <w:r w:rsidRPr="00D16AC6">
        <w:rPr>
          <w:rFonts w:ascii="Times New Roman" w:hAnsi="Times New Roman" w:cs="Times New Roman"/>
          <w:b/>
          <w:bCs/>
          <w:sz w:val="24"/>
          <w:szCs w:val="24"/>
        </w:rPr>
        <w:t>b)</w:t>
      </w:r>
      <w:r w:rsidRPr="00D16AC6">
        <w:rPr>
          <w:rFonts w:ascii="Times New Roman" w:hAnsi="Times New Roman" w:cs="Times New Roman"/>
          <w:sz w:val="24"/>
          <w:szCs w:val="24"/>
        </w:rPr>
        <w:t xml:space="preserve"> </w:t>
      </w:r>
      <w:r w:rsidRPr="00D16AC6">
        <w:rPr>
          <w:rFonts w:ascii="Times New Roman" w:hAnsi="Times New Roman" w:cs="Times New Roman"/>
          <w:b/>
          <w:bCs/>
          <w:sz w:val="24"/>
          <w:szCs w:val="24"/>
        </w:rPr>
        <w:t>Gelir Vergisi Düzenlemesi Açısından:</w:t>
      </w:r>
      <w:r w:rsidRPr="00D16AC6">
        <w:rPr>
          <w:rFonts w:ascii="Times New Roman" w:hAnsi="Times New Roman" w:cs="Times New Roman"/>
          <w:sz w:val="24"/>
          <w:szCs w:val="24"/>
        </w:rPr>
        <w:t xml:space="preserve"> Fonların portföy işletmeciliği kazançları, Gelir Vergisi Kanunu’nun geçici 67. maddesinin (8) numaralı bendi uyarınca, </w:t>
      </w:r>
      <w:proofErr w:type="gramStart"/>
      <w:r w:rsidRPr="00D16AC6">
        <w:rPr>
          <w:rFonts w:ascii="Times New Roman" w:hAnsi="Times New Roman" w:cs="Times New Roman"/>
          <w:sz w:val="24"/>
          <w:szCs w:val="24"/>
        </w:rPr>
        <w:t>%0</w:t>
      </w:r>
      <w:proofErr w:type="gramEnd"/>
      <w:r w:rsidRPr="00D16AC6">
        <w:rPr>
          <w:rFonts w:ascii="Times New Roman" w:hAnsi="Times New Roman" w:cs="Times New Roman"/>
          <w:sz w:val="24"/>
          <w:szCs w:val="24"/>
        </w:rPr>
        <w:t xml:space="preserve"> oranında gelir vergisi </w:t>
      </w:r>
      <w:proofErr w:type="spellStart"/>
      <w:r w:rsidRPr="00D16AC6">
        <w:rPr>
          <w:rFonts w:ascii="Times New Roman" w:hAnsi="Times New Roman" w:cs="Times New Roman"/>
          <w:sz w:val="24"/>
          <w:szCs w:val="24"/>
        </w:rPr>
        <w:t>tevfikatına</w:t>
      </w:r>
      <w:proofErr w:type="spellEnd"/>
      <w:r w:rsidRPr="00D16AC6">
        <w:rPr>
          <w:rFonts w:ascii="Times New Roman" w:hAnsi="Times New Roman" w:cs="Times New Roman"/>
          <w:sz w:val="24"/>
          <w:szCs w:val="24"/>
        </w:rPr>
        <w:t xml:space="preserve"> tabidir.</w:t>
      </w:r>
    </w:p>
    <w:p w14:paraId="2D32836A" w14:textId="77777777" w:rsidR="004B5155" w:rsidRPr="00D16AC6" w:rsidRDefault="004B5155" w:rsidP="00B23770">
      <w:pPr>
        <w:pStyle w:val="ListeParagraf"/>
        <w:tabs>
          <w:tab w:val="left" w:pos="426"/>
          <w:tab w:val="left" w:pos="9356"/>
        </w:tabs>
        <w:jc w:val="both"/>
        <w:rPr>
          <w:rFonts w:ascii="Times New Roman" w:hAnsi="Times New Roman" w:cs="Times New Roman"/>
          <w:sz w:val="24"/>
          <w:szCs w:val="24"/>
        </w:rPr>
      </w:pPr>
    </w:p>
    <w:bookmarkEnd w:id="0"/>
    <w:p w14:paraId="4B011244" w14:textId="567134AD" w:rsidR="00275FAF" w:rsidRPr="00D16AC6" w:rsidRDefault="00275FAF" w:rsidP="00275FAF">
      <w:pPr>
        <w:pStyle w:val="ListeParagraf"/>
        <w:numPr>
          <w:ilvl w:val="0"/>
          <w:numId w:val="1"/>
        </w:numPr>
        <w:spacing w:after="0"/>
        <w:rPr>
          <w:rFonts w:ascii="Times New Roman" w:hAnsi="Times New Roman" w:cs="Times New Roman"/>
          <w:b/>
          <w:sz w:val="24"/>
          <w:szCs w:val="24"/>
        </w:rPr>
      </w:pPr>
      <w:r w:rsidRPr="00D16AC6">
        <w:rPr>
          <w:rFonts w:ascii="Times New Roman" w:hAnsi="Times New Roman" w:cs="Times New Roman"/>
          <w:b/>
          <w:sz w:val="24"/>
          <w:szCs w:val="24"/>
        </w:rPr>
        <w:t>İLAVE BİLGİLER VE AÇIKLAMALAR</w:t>
      </w:r>
    </w:p>
    <w:p w14:paraId="4FFEC210" w14:textId="77777777" w:rsidR="00233BB6" w:rsidRPr="00D16AC6" w:rsidRDefault="00233BB6" w:rsidP="00233BB6">
      <w:pPr>
        <w:pStyle w:val="ListeParagraf"/>
        <w:spacing w:after="0"/>
        <w:rPr>
          <w:rFonts w:ascii="Times New Roman" w:hAnsi="Times New Roman" w:cs="Times New Roman"/>
          <w:b/>
          <w:sz w:val="24"/>
          <w:szCs w:val="24"/>
        </w:rPr>
      </w:pPr>
    </w:p>
    <w:p w14:paraId="7AD28204" w14:textId="00E3DC51" w:rsidR="00275FAF" w:rsidRPr="00D16AC6" w:rsidRDefault="00275FAF" w:rsidP="001B1C6E">
      <w:pPr>
        <w:pStyle w:val="ListeParagraf"/>
        <w:numPr>
          <w:ilvl w:val="0"/>
          <w:numId w:val="4"/>
        </w:numPr>
        <w:spacing w:after="0"/>
        <w:jc w:val="both"/>
        <w:rPr>
          <w:rFonts w:ascii="Times New Roman" w:hAnsi="Times New Roman" w:cs="Times New Roman"/>
          <w:b/>
          <w:sz w:val="24"/>
          <w:szCs w:val="24"/>
        </w:rPr>
      </w:pPr>
      <w:r w:rsidRPr="00D16AC6">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5D76A5" w:rsidRPr="00D16AC6">
        <w:rPr>
          <w:rFonts w:ascii="Times New Roman" w:hAnsi="Times New Roman" w:cs="Times New Roman"/>
          <w:sz w:val="24"/>
          <w:szCs w:val="24"/>
        </w:rPr>
        <w:t>)” inin</w:t>
      </w:r>
      <w:r w:rsidRPr="00D16AC6">
        <w:rPr>
          <w:rFonts w:ascii="Times New Roman" w:hAnsi="Times New Roman" w:cs="Times New Roman"/>
          <w:sz w:val="24"/>
          <w:szCs w:val="24"/>
        </w:rPr>
        <w:t xml:space="preserve"> (“Tebliğ”) hükümleri doğrultusunda hazırlanmıştır.</w:t>
      </w:r>
    </w:p>
    <w:p w14:paraId="78D2DC1F" w14:textId="77777777" w:rsidR="00C95471" w:rsidRPr="00D16AC6" w:rsidRDefault="00C95471" w:rsidP="00C95471">
      <w:pPr>
        <w:pStyle w:val="ListeParagraf"/>
        <w:spacing w:after="0"/>
        <w:jc w:val="both"/>
        <w:rPr>
          <w:rFonts w:ascii="Times New Roman" w:hAnsi="Times New Roman" w:cs="Times New Roman"/>
          <w:b/>
          <w:sz w:val="24"/>
          <w:szCs w:val="24"/>
        </w:rPr>
      </w:pPr>
    </w:p>
    <w:p w14:paraId="4C538E2B" w14:textId="77777777" w:rsidR="00275FAF" w:rsidRPr="00D16AC6" w:rsidRDefault="00275FAF" w:rsidP="001B1C6E">
      <w:pPr>
        <w:pStyle w:val="ListeParagraf"/>
        <w:numPr>
          <w:ilvl w:val="0"/>
          <w:numId w:val="4"/>
        </w:numPr>
        <w:spacing w:after="0"/>
        <w:jc w:val="both"/>
        <w:rPr>
          <w:rFonts w:ascii="Times New Roman" w:hAnsi="Times New Roman" w:cs="Times New Roman"/>
          <w:sz w:val="24"/>
          <w:szCs w:val="24"/>
        </w:rPr>
      </w:pPr>
      <w:r w:rsidRPr="00D16AC6">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16AC6">
        <w:rPr>
          <w:rFonts w:ascii="Times New Roman" w:hAnsi="Times New Roman" w:cs="Times New Roman"/>
          <w:sz w:val="24"/>
          <w:szCs w:val="24"/>
        </w:rPr>
        <w:t xml:space="preserve"> maruz kalabileceği riskler aşağıdaki gibidir:</w:t>
      </w:r>
    </w:p>
    <w:p w14:paraId="334E6B86" w14:textId="6A152928" w:rsidR="004461CF" w:rsidRPr="00D16AC6" w:rsidRDefault="004461CF" w:rsidP="004B5155">
      <w:pPr>
        <w:pStyle w:val="GvdeMetni"/>
        <w:spacing w:before="7"/>
        <w:jc w:val="both"/>
        <w:rPr>
          <w:b/>
          <w:sz w:val="23"/>
        </w:rPr>
      </w:pPr>
    </w:p>
    <w:p w14:paraId="440A1071" w14:textId="77777777" w:rsidR="00D16AC6" w:rsidRPr="00D16AC6" w:rsidRDefault="00D16AC6" w:rsidP="00D16AC6">
      <w:pPr>
        <w:ind w:firstLine="709"/>
        <w:jc w:val="both"/>
        <w:rPr>
          <w:rFonts w:ascii="Times New Roman" w:hAnsi="Times New Roman" w:cs="Times New Roman"/>
          <w:sz w:val="24"/>
          <w:szCs w:val="24"/>
        </w:rPr>
      </w:pPr>
      <w:r w:rsidRPr="00D16AC6">
        <w:rPr>
          <w:rFonts w:ascii="Times New Roman" w:hAnsi="Times New Roman" w:cs="Times New Roman"/>
          <w:b/>
          <w:bCs/>
          <w:sz w:val="24"/>
        </w:rPr>
        <w:t>Piyasa Riski:</w:t>
      </w:r>
      <w:r w:rsidRPr="00D16AC6">
        <w:rPr>
          <w:rFonts w:ascii="Times New Roman" w:hAnsi="Times New Roman" w:cs="Times New Roman"/>
          <w:sz w:val="24"/>
        </w:rPr>
        <w:t xml:space="preserve"> </w:t>
      </w:r>
      <w:r w:rsidRPr="00D16AC6">
        <w:rPr>
          <w:rFonts w:ascii="Times New Roman" w:hAnsi="Times New Roman" w:cs="Times New Roman"/>
          <w:sz w:val="24"/>
          <w:szCs w:val="24"/>
        </w:rPr>
        <w:t>Piyasa riski ile borçlanmayı temsil eden finansal araçların, ortaklık paylarının, diğer menkul kıymetlerin değerinde, faiz oranları, ortaklık payı fiyatlarındaki dalgalanmalar nedeniyle meydana gelebilecek zarar riski ifade edilmektedir. Söz konusu risklerin detaylarına aşağıda yer</w:t>
      </w:r>
      <w:r w:rsidRPr="00D16AC6">
        <w:rPr>
          <w:rFonts w:ascii="Times New Roman" w:hAnsi="Times New Roman" w:cs="Times New Roman"/>
          <w:spacing w:val="-3"/>
          <w:sz w:val="24"/>
          <w:szCs w:val="24"/>
        </w:rPr>
        <w:t xml:space="preserve"> </w:t>
      </w:r>
      <w:r w:rsidRPr="00D16AC6">
        <w:rPr>
          <w:rFonts w:ascii="Times New Roman" w:hAnsi="Times New Roman" w:cs="Times New Roman"/>
          <w:sz w:val="24"/>
          <w:szCs w:val="24"/>
        </w:rPr>
        <w:t>verilmektedir:</w:t>
      </w:r>
    </w:p>
    <w:p w14:paraId="5125A1A8" w14:textId="77777777" w:rsidR="00D16AC6" w:rsidRPr="00D16AC6" w:rsidRDefault="00D16AC6" w:rsidP="00D16AC6">
      <w:pPr>
        <w:tabs>
          <w:tab w:val="left" w:pos="709"/>
        </w:tabs>
        <w:spacing w:before="10"/>
        <w:ind w:firstLine="209"/>
        <w:jc w:val="both"/>
        <w:rPr>
          <w:rFonts w:ascii="Times New Roman" w:hAnsi="Times New Roman" w:cs="Times New Roman"/>
          <w:sz w:val="24"/>
          <w:szCs w:val="24"/>
        </w:rPr>
      </w:pPr>
    </w:p>
    <w:p w14:paraId="2BB7855F" w14:textId="77777777" w:rsidR="00D16AC6" w:rsidRPr="00D16AC6" w:rsidRDefault="00D16AC6" w:rsidP="00D16AC6">
      <w:pPr>
        <w:widowControl w:val="0"/>
        <w:numPr>
          <w:ilvl w:val="0"/>
          <w:numId w:val="8"/>
        </w:numPr>
        <w:tabs>
          <w:tab w:val="left" w:pos="709"/>
          <w:tab w:val="left" w:pos="1181"/>
        </w:tabs>
        <w:autoSpaceDE w:val="0"/>
        <w:autoSpaceDN w:val="0"/>
        <w:spacing w:before="1" w:after="0" w:line="244" w:lineRule="auto"/>
        <w:ind w:left="709" w:right="508" w:hanging="425"/>
        <w:jc w:val="both"/>
        <w:rPr>
          <w:rFonts w:ascii="Times New Roman" w:hAnsi="Times New Roman" w:cs="Times New Roman"/>
          <w:sz w:val="24"/>
          <w:szCs w:val="24"/>
        </w:rPr>
      </w:pPr>
      <w:r w:rsidRPr="00D16AC6">
        <w:rPr>
          <w:rFonts w:ascii="Times New Roman" w:hAnsi="Times New Roman" w:cs="Times New Roman"/>
          <w:b/>
          <w:bCs/>
          <w:sz w:val="24"/>
          <w:szCs w:val="24"/>
        </w:rPr>
        <w:t>Faiz Oranı Riski:</w:t>
      </w:r>
      <w:r w:rsidRPr="00D16AC6">
        <w:rPr>
          <w:rFonts w:ascii="Times New Roman" w:hAnsi="Times New Roman" w:cs="Times New Roman"/>
          <w:sz w:val="24"/>
          <w:szCs w:val="24"/>
        </w:rPr>
        <w:t xml:space="preserve"> Fon portföyüne faize dayalı varlıkların (borçlanma aracı, ters repo </w:t>
      </w:r>
      <w:proofErr w:type="spellStart"/>
      <w:r w:rsidRPr="00D16AC6">
        <w:rPr>
          <w:rFonts w:ascii="Times New Roman" w:hAnsi="Times New Roman" w:cs="Times New Roman"/>
          <w:sz w:val="24"/>
          <w:szCs w:val="24"/>
        </w:rPr>
        <w:t>vb</w:t>
      </w:r>
      <w:proofErr w:type="spellEnd"/>
      <w:r w:rsidRPr="00D16AC6">
        <w:rPr>
          <w:rFonts w:ascii="Times New Roman" w:hAnsi="Times New Roman" w:cs="Times New Roman"/>
          <w:sz w:val="24"/>
          <w:szCs w:val="24"/>
        </w:rPr>
        <w:t>) dahil edilmesi halinde, söz konusu varlıkların değerinde piyasalarda yaşanabilecek faiz oranları değişimleri nedeniyle oluşan riski ifade eder.</w:t>
      </w:r>
    </w:p>
    <w:p w14:paraId="3A845119" w14:textId="77777777" w:rsidR="00D16AC6" w:rsidRPr="00D16AC6" w:rsidRDefault="00D16AC6" w:rsidP="00D16AC6">
      <w:pPr>
        <w:tabs>
          <w:tab w:val="left" w:pos="709"/>
          <w:tab w:val="left" w:pos="1168"/>
        </w:tabs>
        <w:spacing w:before="1" w:line="244" w:lineRule="auto"/>
        <w:ind w:left="709" w:right="508"/>
        <w:jc w:val="both"/>
        <w:rPr>
          <w:rFonts w:ascii="Times New Roman" w:hAnsi="Times New Roman" w:cs="Times New Roman"/>
          <w:sz w:val="24"/>
          <w:szCs w:val="24"/>
        </w:rPr>
      </w:pPr>
    </w:p>
    <w:p w14:paraId="0127FFC8" w14:textId="77777777" w:rsidR="00D16AC6" w:rsidRPr="00D16AC6" w:rsidRDefault="00D16AC6" w:rsidP="00D16AC6">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hAnsi="Times New Roman" w:cs="Times New Roman"/>
          <w:sz w:val="24"/>
          <w:szCs w:val="24"/>
        </w:rPr>
      </w:pPr>
      <w:r w:rsidRPr="00D16AC6">
        <w:rPr>
          <w:rFonts w:ascii="Times New Roman" w:hAnsi="Times New Roman" w:cs="Times New Roman"/>
          <w:b/>
          <w:bCs/>
          <w:sz w:val="24"/>
          <w:szCs w:val="24"/>
        </w:rPr>
        <w:t>Ortaklık Payı Fiyat Riski:</w:t>
      </w:r>
      <w:r w:rsidRPr="00D16AC6">
        <w:rPr>
          <w:rFonts w:ascii="Times New Roman" w:hAnsi="Times New Roman" w:cs="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w:t>
      </w:r>
    </w:p>
    <w:p w14:paraId="768C4B02" w14:textId="77777777" w:rsidR="00D16AC6" w:rsidRPr="00D16AC6" w:rsidRDefault="00D16AC6" w:rsidP="00D16AC6">
      <w:pPr>
        <w:tabs>
          <w:tab w:val="left" w:pos="709"/>
          <w:tab w:val="left" w:pos="1168"/>
        </w:tabs>
        <w:spacing w:before="1" w:line="244" w:lineRule="auto"/>
        <w:ind w:left="709" w:right="508"/>
        <w:jc w:val="both"/>
        <w:rPr>
          <w:rFonts w:ascii="Times New Roman" w:hAnsi="Times New Roman" w:cs="Times New Roman"/>
          <w:sz w:val="24"/>
          <w:szCs w:val="24"/>
        </w:rPr>
      </w:pPr>
    </w:p>
    <w:p w14:paraId="7F268422" w14:textId="77777777" w:rsidR="00D16AC6" w:rsidRPr="00D16AC6" w:rsidRDefault="00D16AC6" w:rsidP="00D16AC6">
      <w:pPr>
        <w:widowControl w:val="0"/>
        <w:numPr>
          <w:ilvl w:val="0"/>
          <w:numId w:val="8"/>
        </w:numPr>
        <w:tabs>
          <w:tab w:val="left" w:pos="709"/>
          <w:tab w:val="left" w:pos="1168"/>
        </w:tabs>
        <w:autoSpaceDE w:val="0"/>
        <w:autoSpaceDN w:val="0"/>
        <w:spacing w:before="1" w:after="0" w:line="244" w:lineRule="auto"/>
        <w:ind w:left="709" w:right="508" w:hanging="425"/>
        <w:jc w:val="both"/>
        <w:rPr>
          <w:rFonts w:ascii="Times New Roman" w:hAnsi="Times New Roman" w:cs="Times New Roman"/>
          <w:sz w:val="24"/>
          <w:szCs w:val="24"/>
        </w:rPr>
      </w:pPr>
      <w:r w:rsidRPr="00D16AC6">
        <w:rPr>
          <w:rFonts w:ascii="Times New Roman" w:hAnsi="Times New Roman" w:cs="Times New Roman"/>
          <w:b/>
          <w:bCs/>
          <w:sz w:val="24"/>
          <w:szCs w:val="24"/>
        </w:rPr>
        <w:t>Kâr Payı Oranı Riski:</w:t>
      </w:r>
      <w:r w:rsidRPr="00D16AC6">
        <w:rPr>
          <w:rFonts w:ascii="Times New Roman" w:hAnsi="Times New Roman" w:cs="Times New Roman"/>
          <w:sz w:val="24"/>
          <w:szCs w:val="24"/>
        </w:rPr>
        <w:t xml:space="preserve"> Fon portföyüne kira sertifikası ve katılma hesabı dahil edilmesi halinde söz konusu ürünlerin sağlayacağı kira/kâr payı oranlarında </w:t>
      </w:r>
      <w:r w:rsidRPr="00D16AC6">
        <w:rPr>
          <w:rFonts w:ascii="Times New Roman" w:hAnsi="Times New Roman" w:cs="Times New Roman"/>
          <w:sz w:val="24"/>
          <w:szCs w:val="24"/>
        </w:rPr>
        <w:lastRenderedPageBreak/>
        <w:t>yaşanabilecek dalgalanmalar nedeniyle oluşan riski ifade eder.</w:t>
      </w:r>
    </w:p>
    <w:p w14:paraId="03A81433" w14:textId="77777777" w:rsidR="00D16AC6" w:rsidRPr="00D16AC6" w:rsidRDefault="00D16AC6" w:rsidP="00D16AC6">
      <w:pPr>
        <w:pStyle w:val="ListeParagraf"/>
        <w:rPr>
          <w:rFonts w:ascii="Times New Roman" w:hAnsi="Times New Roman" w:cs="Times New Roman"/>
        </w:rPr>
      </w:pPr>
    </w:p>
    <w:p w14:paraId="5A0E4F15" w14:textId="58D70EB0" w:rsidR="00D16AC6" w:rsidRPr="00D16AC6" w:rsidRDefault="00D16AC6" w:rsidP="00D16AC6">
      <w:pPr>
        <w:ind w:firstLine="709"/>
        <w:jc w:val="both"/>
        <w:rPr>
          <w:rFonts w:ascii="Times New Roman" w:hAnsi="Times New Roman" w:cs="Times New Roman"/>
          <w:sz w:val="24"/>
          <w:szCs w:val="24"/>
        </w:rPr>
      </w:pPr>
      <w:r w:rsidRPr="00D16AC6">
        <w:rPr>
          <w:rFonts w:ascii="Times New Roman" w:hAnsi="Times New Roman" w:cs="Times New Roman"/>
          <w:sz w:val="24"/>
          <w:szCs w:val="24"/>
        </w:rPr>
        <w:tab/>
      </w:r>
      <w:r w:rsidRPr="00D16AC6">
        <w:rPr>
          <w:rFonts w:ascii="Times New Roman" w:hAnsi="Times New Roman" w:cs="Times New Roman"/>
          <w:b/>
          <w:bCs/>
          <w:sz w:val="24"/>
          <w:szCs w:val="24"/>
        </w:rPr>
        <w:t>2) Karşı Taraf Riski:</w:t>
      </w:r>
      <w:r w:rsidRPr="00D16AC6">
        <w:rPr>
          <w:rFonts w:ascii="Times New Roman" w:hAnsi="Times New Roman" w:cs="Times New Roman"/>
          <w:sz w:val="24"/>
          <w:szCs w:val="24"/>
        </w:rPr>
        <w:t xml:space="preserve"> Karşı tarafın sözleşmeden kaynaklanan yükümlülüklerini yerine getirmek istememesi ve/veya yerine getirememesi ve/veya takas işlemlerinde ortaya çıkan aksaklıklar sonucunda ödemenin yapılamaması riskini ifade etmektedir.</w:t>
      </w:r>
    </w:p>
    <w:p w14:paraId="09B5D079" w14:textId="4D5B6701" w:rsidR="00D16AC6" w:rsidRPr="00D16AC6" w:rsidRDefault="00D16AC6" w:rsidP="00D16AC6">
      <w:pPr>
        <w:ind w:firstLine="709"/>
        <w:jc w:val="both"/>
        <w:rPr>
          <w:rFonts w:ascii="Times New Roman" w:hAnsi="Times New Roman" w:cs="Times New Roman"/>
          <w:sz w:val="24"/>
          <w:szCs w:val="24"/>
        </w:rPr>
      </w:pPr>
      <w:r w:rsidRPr="00D16AC6">
        <w:rPr>
          <w:rFonts w:ascii="Times New Roman" w:hAnsi="Times New Roman" w:cs="Times New Roman"/>
          <w:b/>
          <w:bCs/>
          <w:sz w:val="24"/>
          <w:szCs w:val="24"/>
        </w:rPr>
        <w:t>3) Likidite Riski:</w:t>
      </w:r>
      <w:r w:rsidRPr="00D16AC6">
        <w:rPr>
          <w:rFonts w:ascii="Times New Roman" w:hAnsi="Times New Roman" w:cs="Times New Roman"/>
          <w:sz w:val="24"/>
          <w:szCs w:val="24"/>
        </w:rPr>
        <w:t xml:space="preserve"> Fon portföyünde bulunan finansal varlıkların istenildiği anda piyasa fiyatından nakde dönüştürülememesi halinde ortaya çıkan zarar olasılığıdır.</w:t>
      </w:r>
    </w:p>
    <w:p w14:paraId="11E63485" w14:textId="468B6EE0"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sz w:val="24"/>
          <w:szCs w:val="24"/>
        </w:rPr>
        <w:tab/>
      </w:r>
      <w:r w:rsidRPr="00D16AC6">
        <w:rPr>
          <w:rFonts w:ascii="Times New Roman" w:hAnsi="Times New Roman" w:cs="Times New Roman"/>
          <w:b/>
          <w:bCs/>
          <w:sz w:val="24"/>
          <w:szCs w:val="24"/>
        </w:rPr>
        <w:t>4) Kaldıraç Yaratan İşlem Riski:</w:t>
      </w:r>
      <w:r w:rsidRPr="00D16AC6">
        <w:rPr>
          <w:rFonts w:ascii="Times New Roman" w:hAnsi="Times New Roman" w:cs="Times New Roman"/>
          <w:sz w:val="24"/>
          <w:szCs w:val="24"/>
        </w:rPr>
        <w:t xml:space="preserve"> Fon portföyüne türev araç (vadeli işlem ve opsiyon sözleşmeleri), saklı türev araç, swap sözleşmesi, varant, sertifika dahil edilmesi, ileri valörlü tahvil/bono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47798125" w14:textId="77777777"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b/>
          <w:sz w:val="24"/>
          <w:szCs w:val="24"/>
        </w:rPr>
        <w:tab/>
        <w:t>5) Operasyonel Risk</w:t>
      </w:r>
      <w:r w:rsidRPr="00D16AC6">
        <w:rPr>
          <w:rFonts w:ascii="Times New Roman" w:hAnsi="Times New Roman" w:cs="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1B5C5670" w14:textId="77777777" w:rsidR="00D16AC6" w:rsidRPr="00D16AC6" w:rsidRDefault="00D16AC6" w:rsidP="00D16AC6">
      <w:pPr>
        <w:jc w:val="both"/>
        <w:rPr>
          <w:rFonts w:ascii="Times New Roman" w:hAnsi="Times New Roman" w:cs="Times New Roman"/>
          <w:sz w:val="24"/>
          <w:szCs w:val="24"/>
        </w:rPr>
      </w:pPr>
    </w:p>
    <w:p w14:paraId="406CD30A" w14:textId="77777777"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b/>
          <w:sz w:val="24"/>
          <w:szCs w:val="24"/>
        </w:rPr>
        <w:tab/>
        <w:t>6) Yoğunlaşma Riski:</w:t>
      </w:r>
      <w:r w:rsidRPr="00D16AC6">
        <w:rPr>
          <w:rFonts w:ascii="Times New Roman" w:hAnsi="Times New Roman" w:cs="Times New Roman"/>
          <w:sz w:val="24"/>
          <w:szCs w:val="24"/>
        </w:rPr>
        <w:t xml:space="preserve"> Belli bir varlığa ve/veya vadeye yoğun yatırım yapılması sonucu fonun bu varlığın ve vadenin içerdiği risklere maruz kalmasıdır.</w:t>
      </w:r>
    </w:p>
    <w:p w14:paraId="29E903FF" w14:textId="77777777"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sz w:val="24"/>
          <w:szCs w:val="24"/>
        </w:rPr>
        <w:tab/>
      </w:r>
    </w:p>
    <w:p w14:paraId="3953B1BD" w14:textId="58A00657"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sz w:val="24"/>
          <w:szCs w:val="24"/>
        </w:rPr>
        <w:tab/>
      </w:r>
      <w:r w:rsidRPr="00D16AC6">
        <w:rPr>
          <w:rFonts w:ascii="Times New Roman" w:hAnsi="Times New Roman" w:cs="Times New Roman"/>
          <w:b/>
          <w:sz w:val="24"/>
          <w:szCs w:val="24"/>
        </w:rPr>
        <w:t>7) Korelasyon Riski:</w:t>
      </w:r>
      <w:r w:rsidRPr="00D16AC6">
        <w:rPr>
          <w:rFonts w:ascii="Times New Roman" w:hAnsi="Times New Roman" w:cs="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1E5EAD3" w14:textId="7597B8F8"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b/>
          <w:sz w:val="24"/>
          <w:szCs w:val="24"/>
        </w:rPr>
        <w:tab/>
        <w:t>8) Yasal Risk:</w:t>
      </w:r>
      <w:r w:rsidRPr="00D16AC6">
        <w:rPr>
          <w:rFonts w:ascii="Times New Roman" w:hAnsi="Times New Roman" w:cs="Times New Roman"/>
          <w:sz w:val="24"/>
          <w:szCs w:val="24"/>
        </w:rPr>
        <w:t xml:space="preserve"> Fonun katılma paylarının satıldığı dönemden sonra mevzuatta ve düzenleyici otoritelerin düzenlemelerinde meydana gelebilecek değişiklerden olumsuz etkilenmesi riskidir.</w:t>
      </w:r>
    </w:p>
    <w:p w14:paraId="57A2AB65" w14:textId="101E4DB4"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sz w:val="24"/>
          <w:szCs w:val="24"/>
        </w:rPr>
        <w:t xml:space="preserve">     </w:t>
      </w:r>
      <w:r w:rsidRPr="00D16AC6">
        <w:rPr>
          <w:rFonts w:ascii="Times New Roman" w:hAnsi="Times New Roman" w:cs="Times New Roman"/>
          <w:sz w:val="24"/>
          <w:szCs w:val="24"/>
        </w:rPr>
        <w:tab/>
      </w:r>
      <w:r w:rsidRPr="00D16AC6">
        <w:rPr>
          <w:rFonts w:ascii="Times New Roman" w:hAnsi="Times New Roman" w:cs="Times New Roman"/>
          <w:b/>
          <w:sz w:val="24"/>
          <w:szCs w:val="24"/>
        </w:rPr>
        <w:t xml:space="preserve">9) İhraççı Riski: </w:t>
      </w:r>
      <w:r w:rsidRPr="00D16AC6">
        <w:rPr>
          <w:rFonts w:ascii="Times New Roman" w:hAnsi="Times New Roman" w:cs="Times New Roman"/>
          <w:sz w:val="24"/>
          <w:szCs w:val="24"/>
        </w:rPr>
        <w:t>Fon portföyüne alınan varlıkların</w:t>
      </w:r>
      <w:r w:rsidRPr="00D16AC6">
        <w:rPr>
          <w:rFonts w:ascii="Times New Roman" w:hAnsi="Times New Roman" w:cs="Times New Roman"/>
          <w:b/>
          <w:sz w:val="24"/>
          <w:szCs w:val="24"/>
        </w:rPr>
        <w:t xml:space="preserve"> </w:t>
      </w:r>
      <w:r w:rsidRPr="00D16AC6">
        <w:rPr>
          <w:rFonts w:ascii="Times New Roman" w:hAnsi="Times New Roman" w:cs="Times New Roman"/>
          <w:sz w:val="24"/>
          <w:szCs w:val="24"/>
        </w:rPr>
        <w:t>ihraççısının yükümlülüklerini kısmen veya tamamen zamanında yerine getirememesi nedeniyle doğabilecek zarar ihtimalini ifade eder.</w:t>
      </w:r>
    </w:p>
    <w:p w14:paraId="1A5FC2EA" w14:textId="42B76158" w:rsidR="00D16AC6" w:rsidRPr="00D16AC6" w:rsidRDefault="00D16AC6" w:rsidP="00D16AC6">
      <w:pPr>
        <w:jc w:val="both"/>
        <w:rPr>
          <w:rFonts w:ascii="Times New Roman" w:hAnsi="Times New Roman" w:cs="Times New Roman"/>
          <w:sz w:val="24"/>
          <w:szCs w:val="24"/>
        </w:rPr>
      </w:pPr>
      <w:r w:rsidRPr="00D16AC6">
        <w:rPr>
          <w:rFonts w:ascii="Times New Roman" w:hAnsi="Times New Roman" w:cs="Times New Roman"/>
          <w:sz w:val="24"/>
          <w:szCs w:val="24"/>
        </w:rPr>
        <w:tab/>
      </w:r>
      <w:r w:rsidRPr="00D16AC6">
        <w:rPr>
          <w:rFonts w:ascii="Times New Roman" w:hAnsi="Times New Roman" w:cs="Times New Roman"/>
          <w:b/>
          <w:sz w:val="24"/>
          <w:szCs w:val="24"/>
        </w:rPr>
        <w:t xml:space="preserve">10) Etik Risk: </w:t>
      </w:r>
      <w:r w:rsidRPr="00D16AC6">
        <w:rPr>
          <w:rFonts w:ascii="Times New Roman" w:hAnsi="Times New Roman" w:cs="Times New Roman"/>
          <w:sz w:val="24"/>
          <w:szCs w:val="24"/>
        </w:rPr>
        <w:t>Dolandırıcılık, suistimal, zimmete para geçirme, hırsızlık gibi nedenler ile Fon’u zarara uğratabilecek kasıtlı eylemler ya da Fon’un itibarını olumsuz etkileyecek suçların (örneğin, kara para aklanması) işlenmesi riskidir.</w:t>
      </w:r>
    </w:p>
    <w:p w14:paraId="66C5424E" w14:textId="77777777" w:rsidR="00D16AC6" w:rsidRPr="00D16AC6" w:rsidRDefault="00D16AC6" w:rsidP="00D16AC6">
      <w:pPr>
        <w:ind w:firstLine="708"/>
        <w:jc w:val="both"/>
        <w:rPr>
          <w:rFonts w:ascii="Times New Roman" w:hAnsi="Times New Roman" w:cs="Times New Roman"/>
          <w:sz w:val="24"/>
          <w:szCs w:val="24"/>
        </w:rPr>
      </w:pPr>
      <w:r w:rsidRPr="00D16AC6">
        <w:rPr>
          <w:rFonts w:ascii="Times New Roman" w:hAnsi="Times New Roman" w:cs="Times New Roman"/>
          <w:b/>
          <w:sz w:val="24"/>
          <w:szCs w:val="24"/>
        </w:rPr>
        <w:t>11)</w:t>
      </w:r>
      <w:r w:rsidRPr="00D16AC6">
        <w:rPr>
          <w:rFonts w:ascii="Times New Roman" w:hAnsi="Times New Roman" w:cs="Times New Roman"/>
          <w:sz w:val="24"/>
          <w:szCs w:val="24"/>
        </w:rPr>
        <w:t xml:space="preserve"> </w:t>
      </w:r>
      <w:r w:rsidRPr="00D16AC6">
        <w:rPr>
          <w:rFonts w:ascii="Times New Roman" w:hAnsi="Times New Roman" w:cs="Times New Roman"/>
          <w:b/>
          <w:sz w:val="24"/>
          <w:szCs w:val="24"/>
        </w:rPr>
        <w:t>Teminat Riski:</w:t>
      </w:r>
      <w:r w:rsidRPr="00D16AC6">
        <w:rPr>
          <w:rFonts w:ascii="Times New Roman" w:hAnsi="Times New Roman" w:cs="Times New Roman"/>
          <w:sz w:val="24"/>
          <w:szCs w:val="24"/>
        </w:rPr>
        <w:t xml:space="preserve"> Türev araçlar üzerinden alınan bir pozisyonun güvencesi olarak alınan teminatın, teminatı zorunlu haller sebebiyle likidite etmesi halinde piyasaya göre değerleme değerinin beklenen türev pozisyon değerini karşılayamaması veya doğrudan, teminatın niteliği ile ilgili olumsuzlukların bulunması olasılığının ortaya çıkması durumudur. </w:t>
      </w:r>
    </w:p>
    <w:p w14:paraId="388D8620" w14:textId="77777777" w:rsidR="00D16AC6" w:rsidRPr="00D16AC6" w:rsidRDefault="00D16AC6" w:rsidP="00D16AC6">
      <w:pPr>
        <w:jc w:val="both"/>
        <w:rPr>
          <w:rFonts w:ascii="Times New Roman" w:hAnsi="Times New Roman" w:cs="Times New Roman"/>
          <w:b/>
          <w:sz w:val="24"/>
          <w:szCs w:val="24"/>
        </w:rPr>
      </w:pPr>
    </w:p>
    <w:p w14:paraId="69404E5C" w14:textId="6E295539" w:rsidR="00D16AC6" w:rsidRPr="00D16AC6" w:rsidRDefault="00D16AC6" w:rsidP="00D16AC6">
      <w:pPr>
        <w:ind w:firstLine="708"/>
        <w:jc w:val="both"/>
        <w:rPr>
          <w:rFonts w:ascii="Times New Roman" w:hAnsi="Times New Roman" w:cs="Times New Roman"/>
          <w:sz w:val="24"/>
          <w:szCs w:val="24"/>
        </w:rPr>
      </w:pPr>
      <w:r w:rsidRPr="00D16AC6">
        <w:rPr>
          <w:rFonts w:ascii="Times New Roman" w:hAnsi="Times New Roman" w:cs="Times New Roman"/>
          <w:b/>
          <w:sz w:val="24"/>
          <w:szCs w:val="24"/>
        </w:rPr>
        <w:t>12) Opsiyon Duyarlılık Riskleri:</w:t>
      </w:r>
      <w:r w:rsidRPr="00D16AC6">
        <w:rPr>
          <w:rFonts w:ascii="Times New Roman" w:hAnsi="Times New Roman" w:cs="Times New Roman"/>
          <w:sz w:val="24"/>
          <w:szCs w:val="24"/>
        </w:rPr>
        <w:t xml:space="preserve"> Opsiyon portföylerinde risk duyarlılıkları arasında, işleme konu olan spot finansal ürün fiyat değişiminde çok farklı miktarda risk duyarlılık değişimleri yaşanabilmektedir. Delta; opsiyonun yazıldığı ilgili finansal varlığın fiyatındaki bir birim değişmenin opsiyon priminde oluşturduğu değişimi göstermektedir. Gamma; opsiyonun ilgili olduğu varlığın fiyatındaki değişimin opsiyonun deltasında meydana getirdiği değişimi ölçmektedir. </w:t>
      </w:r>
      <w:proofErr w:type="spellStart"/>
      <w:r w:rsidRPr="00D16AC6">
        <w:rPr>
          <w:rFonts w:ascii="Times New Roman" w:hAnsi="Times New Roman" w:cs="Times New Roman"/>
          <w:sz w:val="24"/>
          <w:szCs w:val="24"/>
        </w:rPr>
        <w:t>Vega</w:t>
      </w:r>
      <w:proofErr w:type="spellEnd"/>
      <w:r w:rsidRPr="00D16AC6">
        <w:rPr>
          <w:rFonts w:ascii="Times New Roman" w:hAnsi="Times New Roman" w:cs="Times New Roman"/>
          <w:sz w:val="24"/>
          <w:szCs w:val="24"/>
        </w:rPr>
        <w:t xml:space="preserve">; opsiyonun dayanak varlığının fiyat dalgalanmasındaki birim değişimin opsiyon priminde oluşturduğu değişimdir. </w:t>
      </w:r>
      <w:proofErr w:type="spellStart"/>
      <w:r w:rsidRPr="00D16AC6">
        <w:rPr>
          <w:rFonts w:ascii="Times New Roman" w:hAnsi="Times New Roman" w:cs="Times New Roman"/>
          <w:sz w:val="24"/>
          <w:szCs w:val="24"/>
        </w:rPr>
        <w:t>Theta</w:t>
      </w:r>
      <w:proofErr w:type="spellEnd"/>
      <w:r w:rsidRPr="00D16AC6">
        <w:rPr>
          <w:rFonts w:ascii="Times New Roman" w:hAnsi="Times New Roman" w:cs="Times New Roman"/>
          <w:sz w:val="24"/>
          <w:szCs w:val="24"/>
        </w:rPr>
        <w:t xml:space="preserve">; risk ölçümlerinde büyük önem taşıyan zaman faktörünü ifade eden gösterge olup, opsiyon fiyatının vadeye göre değişiminin ölçüsüdür. </w:t>
      </w:r>
      <w:proofErr w:type="spellStart"/>
      <w:r w:rsidRPr="00D16AC6">
        <w:rPr>
          <w:rFonts w:ascii="Times New Roman" w:hAnsi="Times New Roman" w:cs="Times New Roman"/>
          <w:sz w:val="24"/>
          <w:szCs w:val="24"/>
        </w:rPr>
        <w:t>Rho</w:t>
      </w:r>
      <w:proofErr w:type="spellEnd"/>
      <w:r w:rsidRPr="00D16AC6">
        <w:rPr>
          <w:rFonts w:ascii="Times New Roman" w:hAnsi="Times New Roman" w:cs="Times New Roman"/>
          <w:sz w:val="24"/>
          <w:szCs w:val="24"/>
        </w:rPr>
        <w:t xml:space="preserve"> ise faiz oranlarındaki yüzdesel değişimin opsiyonun fiyatında oluşturduğu değişimin ölçüsüdür.</w:t>
      </w:r>
    </w:p>
    <w:p w14:paraId="630B1DC0" w14:textId="77777777" w:rsidR="00D16AC6" w:rsidRPr="00D16AC6" w:rsidRDefault="00D16AC6" w:rsidP="00D16AC6">
      <w:pPr>
        <w:ind w:firstLine="708"/>
        <w:jc w:val="both"/>
        <w:rPr>
          <w:rFonts w:ascii="Times New Roman" w:hAnsi="Times New Roman" w:cs="Times New Roman"/>
          <w:sz w:val="24"/>
          <w:szCs w:val="24"/>
        </w:rPr>
      </w:pPr>
      <w:r w:rsidRPr="00D16AC6">
        <w:rPr>
          <w:rFonts w:ascii="Times New Roman" w:hAnsi="Times New Roman" w:cs="Times New Roman"/>
          <w:b/>
          <w:sz w:val="24"/>
          <w:szCs w:val="24"/>
        </w:rPr>
        <w:t>13) Yapılandırılmış Yatırım/Borçlanma Araçları Riskleri:</w:t>
      </w:r>
      <w:r w:rsidRPr="00D16AC6">
        <w:rPr>
          <w:rFonts w:ascii="Times New Roman" w:hAnsi="Times New Roman" w:cs="Times New Roman"/>
          <w:sz w:val="24"/>
          <w:szCs w:val="24"/>
        </w:rPr>
        <w:t xml:space="preserve"> Yapılandırılmış Yatırım/Borçlanma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 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 Yapılandırılmış Yatırım/Borçlanma Araçları yatırımı yapılması halinde karşı taraf riski de mevcuttur. Karşı taraf riski, ihraççı kurumun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ve koşulu aranır. </w:t>
      </w:r>
    </w:p>
    <w:p w14:paraId="48D8E65B" w14:textId="77777777" w:rsidR="00D16AC6" w:rsidRPr="00D16AC6" w:rsidRDefault="00D16AC6" w:rsidP="004B5155">
      <w:pPr>
        <w:pStyle w:val="GvdeMetni"/>
        <w:spacing w:before="7"/>
        <w:jc w:val="both"/>
        <w:rPr>
          <w:b/>
          <w:sz w:val="23"/>
        </w:rPr>
      </w:pPr>
    </w:p>
    <w:sectPr w:rsidR="00D16AC6" w:rsidRPr="00D16AC6" w:rsidSect="008A60CB">
      <w:head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F7AB70" w14:textId="77777777" w:rsidR="00CE6622" w:rsidRDefault="00CE6622" w:rsidP="00A05B08">
      <w:pPr>
        <w:spacing w:after="0" w:line="240" w:lineRule="auto"/>
      </w:pPr>
      <w:r>
        <w:separator/>
      </w:r>
    </w:p>
  </w:endnote>
  <w:endnote w:type="continuationSeparator" w:id="0">
    <w:p w14:paraId="7429E64B" w14:textId="77777777" w:rsidR="00CE6622" w:rsidRDefault="00CE6622"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C15177" w14:textId="77777777" w:rsidR="00CE6622" w:rsidRDefault="00CE6622" w:rsidP="00A05B08">
      <w:pPr>
        <w:spacing w:after="0" w:line="240" w:lineRule="auto"/>
      </w:pPr>
      <w:r>
        <w:separator/>
      </w:r>
    </w:p>
  </w:footnote>
  <w:footnote w:type="continuationSeparator" w:id="0">
    <w:p w14:paraId="7FBBB993" w14:textId="77777777" w:rsidR="00CE6622" w:rsidRDefault="00CE6622"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EEB9F" w14:textId="51FCBF1C" w:rsidR="00BA1F9B" w:rsidRPr="00553667" w:rsidRDefault="00BA1F9B" w:rsidP="00553667">
    <w:pPr>
      <w:spacing w:after="0"/>
      <w:jc w:val="center"/>
      <w:rPr>
        <w:rFonts w:ascii="Times New Roman" w:hAnsi="Times New Roman" w:cs="Times New Roman"/>
        <w:b/>
        <w:sz w:val="20"/>
        <w:szCs w:val="20"/>
      </w:rPr>
    </w:pPr>
    <w:r w:rsidRPr="00553667">
      <w:rPr>
        <w:rFonts w:ascii="Times New Roman" w:hAnsi="Times New Roman" w:cs="Times New Roman"/>
        <w:b/>
        <w:sz w:val="20"/>
        <w:szCs w:val="20"/>
      </w:rPr>
      <w:t>HEDEF PORTFÖY KUZEY HİSSE SENEDİ SERBEST</w:t>
    </w:r>
    <w:r w:rsidR="00553667" w:rsidRPr="00553667">
      <w:rPr>
        <w:rFonts w:ascii="Times New Roman" w:hAnsi="Times New Roman" w:cs="Times New Roman"/>
        <w:b/>
        <w:sz w:val="20"/>
        <w:szCs w:val="20"/>
      </w:rPr>
      <w:t>(TL)</w:t>
    </w:r>
    <w:r w:rsidRPr="00553667">
      <w:rPr>
        <w:rFonts w:ascii="Times New Roman" w:hAnsi="Times New Roman" w:cs="Times New Roman"/>
        <w:b/>
        <w:sz w:val="20"/>
        <w:szCs w:val="20"/>
      </w:rPr>
      <w:t xml:space="preserve"> FON (HİSSE SENEDİ YOĞUN</w:t>
    </w:r>
    <w:r w:rsidR="00553667" w:rsidRPr="00553667">
      <w:rPr>
        <w:rFonts w:ascii="Times New Roman" w:hAnsi="Times New Roman" w:cs="Times New Roman"/>
        <w:b/>
        <w:sz w:val="20"/>
        <w:szCs w:val="20"/>
      </w:rPr>
      <w:t xml:space="preserve"> </w:t>
    </w:r>
    <w:r w:rsidRPr="00553667">
      <w:rPr>
        <w:rFonts w:ascii="Times New Roman" w:hAnsi="Times New Roman" w:cs="Times New Roman"/>
        <w:b/>
        <w:sz w:val="20"/>
        <w:szCs w:val="20"/>
      </w:rPr>
      <w:t>FON)</w:t>
    </w:r>
  </w:p>
  <w:p w14:paraId="4861FCB7" w14:textId="77777777" w:rsidR="002324C9" w:rsidRPr="007A7B0F" w:rsidRDefault="002324C9" w:rsidP="002324C9">
    <w:pPr>
      <w:spacing w:after="0"/>
      <w:jc w:val="center"/>
      <w:rPr>
        <w:rFonts w:ascii="Times New Roman" w:hAnsi="Times New Roman" w:cs="Times New Roman"/>
        <w:b/>
      </w:rPr>
    </w:pPr>
    <w:r w:rsidRPr="00553667">
      <w:rPr>
        <w:rFonts w:ascii="Times New Roman" w:hAnsi="Times New Roman" w:cs="Times New Roman"/>
        <w:b/>
        <w:sz w:val="20"/>
        <w:szCs w:val="20"/>
      </w:rPr>
      <w:t>PERFORMANS SUNUM RAPORU</w:t>
    </w:r>
  </w:p>
  <w:p w14:paraId="7228DD08" w14:textId="77777777" w:rsidR="00A05B08" w:rsidRDefault="008A60CB">
    <w:pPr>
      <w:pStyle w:val="stBilgi"/>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0074A"/>
    <w:multiLevelType w:val="hybridMultilevel"/>
    <w:tmpl w:val="FFFFFFFF"/>
    <w:lvl w:ilvl="0" w:tplc="D9621BDA">
      <w:start w:val="1"/>
      <w:numFmt w:val="lowerLetter"/>
      <w:lvlText w:val="%1-"/>
      <w:lvlJc w:val="left"/>
      <w:pPr>
        <w:ind w:left="906" w:hanging="275"/>
      </w:pPr>
      <w:rPr>
        <w:rFonts w:ascii="Times New Roman" w:eastAsia="Times New Roman" w:hAnsi="Times New Roman" w:cs="Times New Roman" w:hint="default"/>
        <w:b/>
        <w:bCs/>
        <w:w w:val="101"/>
        <w:sz w:val="23"/>
        <w:szCs w:val="23"/>
      </w:rPr>
    </w:lvl>
    <w:lvl w:ilvl="1" w:tplc="FFFFFFFF">
      <w:numFmt w:val="bullet"/>
      <w:lvlText w:val="•"/>
      <w:lvlJc w:val="left"/>
      <w:pPr>
        <w:ind w:left="1798" w:hanging="275"/>
      </w:pPr>
      <w:rPr>
        <w:rFonts w:hint="default"/>
      </w:rPr>
    </w:lvl>
    <w:lvl w:ilvl="2" w:tplc="FFFFFFFF">
      <w:numFmt w:val="bullet"/>
      <w:lvlText w:val="•"/>
      <w:lvlJc w:val="left"/>
      <w:pPr>
        <w:ind w:left="2697" w:hanging="275"/>
      </w:pPr>
      <w:rPr>
        <w:rFonts w:hint="default"/>
      </w:rPr>
    </w:lvl>
    <w:lvl w:ilvl="3" w:tplc="FFFFFFFF">
      <w:numFmt w:val="bullet"/>
      <w:lvlText w:val="•"/>
      <w:lvlJc w:val="left"/>
      <w:pPr>
        <w:ind w:left="3595" w:hanging="275"/>
      </w:pPr>
      <w:rPr>
        <w:rFonts w:hint="default"/>
      </w:rPr>
    </w:lvl>
    <w:lvl w:ilvl="4" w:tplc="FFFFFFFF">
      <w:numFmt w:val="bullet"/>
      <w:lvlText w:val="•"/>
      <w:lvlJc w:val="left"/>
      <w:pPr>
        <w:ind w:left="4494" w:hanging="275"/>
      </w:pPr>
      <w:rPr>
        <w:rFonts w:hint="default"/>
      </w:rPr>
    </w:lvl>
    <w:lvl w:ilvl="5" w:tplc="FFFFFFFF">
      <w:numFmt w:val="bullet"/>
      <w:lvlText w:val="•"/>
      <w:lvlJc w:val="left"/>
      <w:pPr>
        <w:ind w:left="5393" w:hanging="275"/>
      </w:pPr>
      <w:rPr>
        <w:rFonts w:hint="default"/>
      </w:rPr>
    </w:lvl>
    <w:lvl w:ilvl="6" w:tplc="FFFFFFFF">
      <w:numFmt w:val="bullet"/>
      <w:lvlText w:val="•"/>
      <w:lvlJc w:val="left"/>
      <w:pPr>
        <w:ind w:left="6291" w:hanging="275"/>
      </w:pPr>
      <w:rPr>
        <w:rFonts w:hint="default"/>
      </w:rPr>
    </w:lvl>
    <w:lvl w:ilvl="7" w:tplc="FFFFFFFF">
      <w:numFmt w:val="bullet"/>
      <w:lvlText w:val="•"/>
      <w:lvlJc w:val="left"/>
      <w:pPr>
        <w:ind w:left="7190" w:hanging="275"/>
      </w:pPr>
      <w:rPr>
        <w:rFonts w:hint="default"/>
      </w:rPr>
    </w:lvl>
    <w:lvl w:ilvl="8" w:tplc="FFFFFFFF">
      <w:numFmt w:val="bullet"/>
      <w:lvlText w:val="•"/>
      <w:lvlJc w:val="left"/>
      <w:pPr>
        <w:ind w:left="8089" w:hanging="275"/>
      </w:pPr>
      <w:rPr>
        <w:rFonts w:hint="default"/>
      </w:rPr>
    </w:lvl>
  </w:abstractNum>
  <w:abstractNum w:abstractNumId="2"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AA788B"/>
    <w:multiLevelType w:val="hybridMultilevel"/>
    <w:tmpl w:val="749CF908"/>
    <w:lvl w:ilvl="0" w:tplc="3E441274">
      <w:start w:val="1"/>
      <w:numFmt w:val="lowerLetter"/>
      <w:lvlText w:val="%1-"/>
      <w:lvlJc w:val="left"/>
      <w:pPr>
        <w:ind w:left="928" w:hanging="262"/>
      </w:pPr>
      <w:rPr>
        <w:rFonts w:ascii="Times New Roman" w:eastAsia="Times New Roman" w:hAnsi="Times New Roman" w:cs="Times New Roman" w:hint="default"/>
        <w:b/>
        <w:bCs/>
        <w:spacing w:val="-1"/>
        <w:w w:val="100"/>
        <w:sz w:val="24"/>
        <w:szCs w:val="24"/>
        <w:lang w:val="tr-TR" w:eastAsia="en-US" w:bidi="ar-SA"/>
      </w:rPr>
    </w:lvl>
    <w:lvl w:ilvl="1" w:tplc="6788278A">
      <w:numFmt w:val="bullet"/>
      <w:lvlText w:val="•"/>
      <w:lvlJc w:val="left"/>
      <w:pPr>
        <w:ind w:left="1844" w:hanging="262"/>
      </w:pPr>
      <w:rPr>
        <w:rFonts w:hint="default"/>
        <w:lang w:val="tr-TR" w:eastAsia="en-US" w:bidi="ar-SA"/>
      </w:rPr>
    </w:lvl>
    <w:lvl w:ilvl="2" w:tplc="399A5A7C">
      <w:numFmt w:val="bullet"/>
      <w:lvlText w:val="•"/>
      <w:lvlJc w:val="left"/>
      <w:pPr>
        <w:ind w:left="2769" w:hanging="262"/>
      </w:pPr>
      <w:rPr>
        <w:rFonts w:hint="default"/>
        <w:lang w:val="tr-TR" w:eastAsia="en-US" w:bidi="ar-SA"/>
      </w:rPr>
    </w:lvl>
    <w:lvl w:ilvl="3" w:tplc="BEFC790E">
      <w:numFmt w:val="bullet"/>
      <w:lvlText w:val="•"/>
      <w:lvlJc w:val="left"/>
      <w:pPr>
        <w:ind w:left="3693" w:hanging="262"/>
      </w:pPr>
      <w:rPr>
        <w:rFonts w:hint="default"/>
        <w:lang w:val="tr-TR" w:eastAsia="en-US" w:bidi="ar-SA"/>
      </w:rPr>
    </w:lvl>
    <w:lvl w:ilvl="4" w:tplc="944A64E2">
      <w:numFmt w:val="bullet"/>
      <w:lvlText w:val="•"/>
      <w:lvlJc w:val="left"/>
      <w:pPr>
        <w:ind w:left="4618" w:hanging="262"/>
      </w:pPr>
      <w:rPr>
        <w:rFonts w:hint="default"/>
        <w:lang w:val="tr-TR" w:eastAsia="en-US" w:bidi="ar-SA"/>
      </w:rPr>
    </w:lvl>
    <w:lvl w:ilvl="5" w:tplc="B2A63184">
      <w:numFmt w:val="bullet"/>
      <w:lvlText w:val="•"/>
      <w:lvlJc w:val="left"/>
      <w:pPr>
        <w:ind w:left="5543" w:hanging="262"/>
      </w:pPr>
      <w:rPr>
        <w:rFonts w:hint="default"/>
        <w:lang w:val="tr-TR" w:eastAsia="en-US" w:bidi="ar-SA"/>
      </w:rPr>
    </w:lvl>
    <w:lvl w:ilvl="6" w:tplc="FF864B8C">
      <w:numFmt w:val="bullet"/>
      <w:lvlText w:val="•"/>
      <w:lvlJc w:val="left"/>
      <w:pPr>
        <w:ind w:left="6467" w:hanging="262"/>
      </w:pPr>
      <w:rPr>
        <w:rFonts w:hint="default"/>
        <w:lang w:val="tr-TR" w:eastAsia="en-US" w:bidi="ar-SA"/>
      </w:rPr>
    </w:lvl>
    <w:lvl w:ilvl="7" w:tplc="C3E22AD6">
      <w:numFmt w:val="bullet"/>
      <w:lvlText w:val="•"/>
      <w:lvlJc w:val="left"/>
      <w:pPr>
        <w:ind w:left="7392" w:hanging="262"/>
      </w:pPr>
      <w:rPr>
        <w:rFonts w:hint="default"/>
        <w:lang w:val="tr-TR" w:eastAsia="en-US" w:bidi="ar-SA"/>
      </w:rPr>
    </w:lvl>
    <w:lvl w:ilvl="8" w:tplc="B33EDA10">
      <w:numFmt w:val="bullet"/>
      <w:lvlText w:val="•"/>
      <w:lvlJc w:val="left"/>
      <w:pPr>
        <w:ind w:left="8317" w:hanging="262"/>
      </w:pPr>
      <w:rPr>
        <w:rFonts w:hint="default"/>
        <w:lang w:val="tr-TR" w:eastAsia="en-US" w:bidi="ar-SA"/>
      </w:rPr>
    </w:lvl>
  </w:abstractNum>
  <w:abstractNum w:abstractNumId="4"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DEC3D0E"/>
    <w:multiLevelType w:val="hybridMultilevel"/>
    <w:tmpl w:val="26E0CE7A"/>
    <w:lvl w:ilvl="0" w:tplc="CD5A9A6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2692421">
    <w:abstractNumId w:val="2"/>
  </w:num>
  <w:num w:numId="2" w16cid:durableId="1065955665">
    <w:abstractNumId w:val="0"/>
  </w:num>
  <w:num w:numId="3" w16cid:durableId="923881647">
    <w:abstractNumId w:val="5"/>
  </w:num>
  <w:num w:numId="4" w16cid:durableId="1050497029">
    <w:abstractNumId w:val="4"/>
  </w:num>
  <w:num w:numId="5" w16cid:durableId="361177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1177742">
    <w:abstractNumId w:val="3"/>
  </w:num>
  <w:num w:numId="7" w16cid:durableId="26682522">
    <w:abstractNumId w:val="6"/>
  </w:num>
  <w:num w:numId="8" w16cid:durableId="1051079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7D6"/>
    <w:rsid w:val="00030329"/>
    <w:rsid w:val="000316C6"/>
    <w:rsid w:val="00032E31"/>
    <w:rsid w:val="000355D7"/>
    <w:rsid w:val="00037DF1"/>
    <w:rsid w:val="00040C54"/>
    <w:rsid w:val="0006693E"/>
    <w:rsid w:val="000728E6"/>
    <w:rsid w:val="00085319"/>
    <w:rsid w:val="000A1D61"/>
    <w:rsid w:val="000C3AAA"/>
    <w:rsid w:val="000C6415"/>
    <w:rsid w:val="000C794E"/>
    <w:rsid w:val="000E1417"/>
    <w:rsid w:val="000E29E4"/>
    <w:rsid w:val="000F0692"/>
    <w:rsid w:val="000F290D"/>
    <w:rsid w:val="001055E3"/>
    <w:rsid w:val="00106889"/>
    <w:rsid w:val="001113CA"/>
    <w:rsid w:val="00123C75"/>
    <w:rsid w:val="00137894"/>
    <w:rsid w:val="00154745"/>
    <w:rsid w:val="001547A9"/>
    <w:rsid w:val="00156F47"/>
    <w:rsid w:val="0016237E"/>
    <w:rsid w:val="001775B4"/>
    <w:rsid w:val="001855F1"/>
    <w:rsid w:val="00192628"/>
    <w:rsid w:val="001B0A23"/>
    <w:rsid w:val="001B1348"/>
    <w:rsid w:val="001B1C6E"/>
    <w:rsid w:val="001C4968"/>
    <w:rsid w:val="001C7D34"/>
    <w:rsid w:val="001D0BCB"/>
    <w:rsid w:val="001F683B"/>
    <w:rsid w:val="00223B91"/>
    <w:rsid w:val="002324C9"/>
    <w:rsid w:val="00233BB6"/>
    <w:rsid w:val="00242139"/>
    <w:rsid w:val="00242370"/>
    <w:rsid w:val="00260B54"/>
    <w:rsid w:val="00270B02"/>
    <w:rsid w:val="00275FAF"/>
    <w:rsid w:val="002818AC"/>
    <w:rsid w:val="00295675"/>
    <w:rsid w:val="002B050A"/>
    <w:rsid w:val="002C3B8A"/>
    <w:rsid w:val="002E2517"/>
    <w:rsid w:val="002F4B15"/>
    <w:rsid w:val="002F722C"/>
    <w:rsid w:val="003053ED"/>
    <w:rsid w:val="00333E26"/>
    <w:rsid w:val="00351EF4"/>
    <w:rsid w:val="00353A6C"/>
    <w:rsid w:val="00360082"/>
    <w:rsid w:val="003743AF"/>
    <w:rsid w:val="003867D7"/>
    <w:rsid w:val="003873D3"/>
    <w:rsid w:val="00392B73"/>
    <w:rsid w:val="003A1B55"/>
    <w:rsid w:val="003B0919"/>
    <w:rsid w:val="003B1A24"/>
    <w:rsid w:val="003B245E"/>
    <w:rsid w:val="003B3582"/>
    <w:rsid w:val="003B768A"/>
    <w:rsid w:val="003C2975"/>
    <w:rsid w:val="003D66F7"/>
    <w:rsid w:val="003E3B76"/>
    <w:rsid w:val="003F595D"/>
    <w:rsid w:val="00411BC9"/>
    <w:rsid w:val="00416252"/>
    <w:rsid w:val="00440A16"/>
    <w:rsid w:val="004437E7"/>
    <w:rsid w:val="004461CF"/>
    <w:rsid w:val="00454750"/>
    <w:rsid w:val="00470C77"/>
    <w:rsid w:val="00484886"/>
    <w:rsid w:val="00495B04"/>
    <w:rsid w:val="004A30D5"/>
    <w:rsid w:val="004A3E40"/>
    <w:rsid w:val="004A4A6C"/>
    <w:rsid w:val="004B5155"/>
    <w:rsid w:val="004C10A1"/>
    <w:rsid w:val="004C5257"/>
    <w:rsid w:val="004E204D"/>
    <w:rsid w:val="004E72E0"/>
    <w:rsid w:val="00513DB4"/>
    <w:rsid w:val="00526BB9"/>
    <w:rsid w:val="00533EF8"/>
    <w:rsid w:val="005417B3"/>
    <w:rsid w:val="00553667"/>
    <w:rsid w:val="0055378A"/>
    <w:rsid w:val="00565538"/>
    <w:rsid w:val="0056554C"/>
    <w:rsid w:val="0057332C"/>
    <w:rsid w:val="00595EA6"/>
    <w:rsid w:val="005B4267"/>
    <w:rsid w:val="005B7773"/>
    <w:rsid w:val="005B7F8D"/>
    <w:rsid w:val="005C70A1"/>
    <w:rsid w:val="005D3353"/>
    <w:rsid w:val="005D76A5"/>
    <w:rsid w:val="005F5413"/>
    <w:rsid w:val="00607C99"/>
    <w:rsid w:val="00612873"/>
    <w:rsid w:val="00616A2B"/>
    <w:rsid w:val="00616A5F"/>
    <w:rsid w:val="0062182C"/>
    <w:rsid w:val="00621CF3"/>
    <w:rsid w:val="006378F5"/>
    <w:rsid w:val="006571D1"/>
    <w:rsid w:val="0068582B"/>
    <w:rsid w:val="006C07D6"/>
    <w:rsid w:val="006D1809"/>
    <w:rsid w:val="006D5B60"/>
    <w:rsid w:val="006E2F79"/>
    <w:rsid w:val="00721FE4"/>
    <w:rsid w:val="00726F27"/>
    <w:rsid w:val="00732B90"/>
    <w:rsid w:val="007416E0"/>
    <w:rsid w:val="00773678"/>
    <w:rsid w:val="00775FC6"/>
    <w:rsid w:val="00777D56"/>
    <w:rsid w:val="00792566"/>
    <w:rsid w:val="00797EF8"/>
    <w:rsid w:val="007B01C3"/>
    <w:rsid w:val="007B1576"/>
    <w:rsid w:val="007C2D43"/>
    <w:rsid w:val="007D2136"/>
    <w:rsid w:val="007E3A2E"/>
    <w:rsid w:val="008003DC"/>
    <w:rsid w:val="00801944"/>
    <w:rsid w:val="00876E0B"/>
    <w:rsid w:val="00887B2B"/>
    <w:rsid w:val="008905A1"/>
    <w:rsid w:val="008A0109"/>
    <w:rsid w:val="008A28FF"/>
    <w:rsid w:val="008A60CB"/>
    <w:rsid w:val="008B7A70"/>
    <w:rsid w:val="008C136E"/>
    <w:rsid w:val="008E29B1"/>
    <w:rsid w:val="008E46BF"/>
    <w:rsid w:val="009149B7"/>
    <w:rsid w:val="00934D50"/>
    <w:rsid w:val="00942BAD"/>
    <w:rsid w:val="009525DA"/>
    <w:rsid w:val="0096153D"/>
    <w:rsid w:val="00973E09"/>
    <w:rsid w:val="009953D3"/>
    <w:rsid w:val="009A2C37"/>
    <w:rsid w:val="009A4412"/>
    <w:rsid w:val="009B5813"/>
    <w:rsid w:val="009C4D7E"/>
    <w:rsid w:val="009E583A"/>
    <w:rsid w:val="00A05B08"/>
    <w:rsid w:val="00A22535"/>
    <w:rsid w:val="00A2654E"/>
    <w:rsid w:val="00A667D5"/>
    <w:rsid w:val="00A779B1"/>
    <w:rsid w:val="00A77F1A"/>
    <w:rsid w:val="00AA10CF"/>
    <w:rsid w:val="00AA2DFC"/>
    <w:rsid w:val="00AE2999"/>
    <w:rsid w:val="00B0426D"/>
    <w:rsid w:val="00B23770"/>
    <w:rsid w:val="00B53261"/>
    <w:rsid w:val="00B8551C"/>
    <w:rsid w:val="00BA1F9B"/>
    <w:rsid w:val="00BA2C65"/>
    <w:rsid w:val="00BB402B"/>
    <w:rsid w:val="00BC161B"/>
    <w:rsid w:val="00BC4211"/>
    <w:rsid w:val="00BD1364"/>
    <w:rsid w:val="00BE37F7"/>
    <w:rsid w:val="00C21F21"/>
    <w:rsid w:val="00C32246"/>
    <w:rsid w:val="00C41E0D"/>
    <w:rsid w:val="00C4771F"/>
    <w:rsid w:val="00C57B97"/>
    <w:rsid w:val="00C95471"/>
    <w:rsid w:val="00C96537"/>
    <w:rsid w:val="00C97E1E"/>
    <w:rsid w:val="00CC0DF7"/>
    <w:rsid w:val="00CC15D0"/>
    <w:rsid w:val="00CC555A"/>
    <w:rsid w:val="00CC7520"/>
    <w:rsid w:val="00CD4C99"/>
    <w:rsid w:val="00CD5FEA"/>
    <w:rsid w:val="00CE078C"/>
    <w:rsid w:val="00CE6622"/>
    <w:rsid w:val="00D16AC6"/>
    <w:rsid w:val="00D26E43"/>
    <w:rsid w:val="00D2791D"/>
    <w:rsid w:val="00D34671"/>
    <w:rsid w:val="00D36275"/>
    <w:rsid w:val="00D52CC0"/>
    <w:rsid w:val="00D81B9A"/>
    <w:rsid w:val="00D8224E"/>
    <w:rsid w:val="00D916AD"/>
    <w:rsid w:val="00D92C8B"/>
    <w:rsid w:val="00D97BC4"/>
    <w:rsid w:val="00DC47FA"/>
    <w:rsid w:val="00DC6413"/>
    <w:rsid w:val="00DC6AAC"/>
    <w:rsid w:val="00DE2258"/>
    <w:rsid w:val="00DE66B3"/>
    <w:rsid w:val="00DF2243"/>
    <w:rsid w:val="00E0203D"/>
    <w:rsid w:val="00E27CCD"/>
    <w:rsid w:val="00E50129"/>
    <w:rsid w:val="00E52F2D"/>
    <w:rsid w:val="00E5599C"/>
    <w:rsid w:val="00E7127D"/>
    <w:rsid w:val="00E92E07"/>
    <w:rsid w:val="00ED76F3"/>
    <w:rsid w:val="00EF0689"/>
    <w:rsid w:val="00EF686E"/>
    <w:rsid w:val="00EF700D"/>
    <w:rsid w:val="00F413D3"/>
    <w:rsid w:val="00F5703C"/>
    <w:rsid w:val="00F6179D"/>
    <w:rsid w:val="00FB658A"/>
    <w:rsid w:val="00FE7D41"/>
    <w:rsid w:val="00FF1215"/>
    <w:rsid w:val="00FF42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05A5B94E"/>
  <w15:docId w15:val="{49AFF6DF-5585-461F-9DAE-F5962093D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4461C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4461C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58172">
      <w:bodyDiv w:val="1"/>
      <w:marLeft w:val="0"/>
      <w:marRight w:val="0"/>
      <w:marTop w:val="0"/>
      <w:marBottom w:val="0"/>
      <w:divBdr>
        <w:top w:val="none" w:sz="0" w:space="0" w:color="auto"/>
        <w:left w:val="none" w:sz="0" w:space="0" w:color="auto"/>
        <w:bottom w:val="none" w:sz="0" w:space="0" w:color="auto"/>
        <w:right w:val="none" w:sz="0" w:space="0" w:color="auto"/>
      </w:divBdr>
    </w:div>
    <w:div w:id="74910291">
      <w:bodyDiv w:val="1"/>
      <w:marLeft w:val="0"/>
      <w:marRight w:val="0"/>
      <w:marTop w:val="0"/>
      <w:marBottom w:val="0"/>
      <w:divBdr>
        <w:top w:val="none" w:sz="0" w:space="0" w:color="auto"/>
        <w:left w:val="none" w:sz="0" w:space="0" w:color="auto"/>
        <w:bottom w:val="none" w:sz="0" w:space="0" w:color="auto"/>
        <w:right w:val="none" w:sz="0" w:space="0" w:color="auto"/>
      </w:divBdr>
    </w:div>
    <w:div w:id="125397651">
      <w:bodyDiv w:val="1"/>
      <w:marLeft w:val="0"/>
      <w:marRight w:val="0"/>
      <w:marTop w:val="0"/>
      <w:marBottom w:val="0"/>
      <w:divBdr>
        <w:top w:val="none" w:sz="0" w:space="0" w:color="auto"/>
        <w:left w:val="none" w:sz="0" w:space="0" w:color="auto"/>
        <w:bottom w:val="none" w:sz="0" w:space="0" w:color="auto"/>
        <w:right w:val="none" w:sz="0" w:space="0" w:color="auto"/>
      </w:divBdr>
    </w:div>
    <w:div w:id="135882246">
      <w:bodyDiv w:val="1"/>
      <w:marLeft w:val="0"/>
      <w:marRight w:val="0"/>
      <w:marTop w:val="0"/>
      <w:marBottom w:val="0"/>
      <w:divBdr>
        <w:top w:val="none" w:sz="0" w:space="0" w:color="auto"/>
        <w:left w:val="none" w:sz="0" w:space="0" w:color="auto"/>
        <w:bottom w:val="none" w:sz="0" w:space="0" w:color="auto"/>
        <w:right w:val="none" w:sz="0" w:space="0" w:color="auto"/>
      </w:divBdr>
    </w:div>
    <w:div w:id="250166894">
      <w:bodyDiv w:val="1"/>
      <w:marLeft w:val="0"/>
      <w:marRight w:val="0"/>
      <w:marTop w:val="0"/>
      <w:marBottom w:val="0"/>
      <w:divBdr>
        <w:top w:val="none" w:sz="0" w:space="0" w:color="auto"/>
        <w:left w:val="none" w:sz="0" w:space="0" w:color="auto"/>
        <w:bottom w:val="none" w:sz="0" w:space="0" w:color="auto"/>
        <w:right w:val="none" w:sz="0" w:space="0" w:color="auto"/>
      </w:divBdr>
    </w:div>
    <w:div w:id="293022056">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397939695">
      <w:bodyDiv w:val="1"/>
      <w:marLeft w:val="0"/>
      <w:marRight w:val="0"/>
      <w:marTop w:val="0"/>
      <w:marBottom w:val="0"/>
      <w:divBdr>
        <w:top w:val="none" w:sz="0" w:space="0" w:color="auto"/>
        <w:left w:val="none" w:sz="0" w:space="0" w:color="auto"/>
        <w:bottom w:val="none" w:sz="0" w:space="0" w:color="auto"/>
        <w:right w:val="none" w:sz="0" w:space="0" w:color="auto"/>
      </w:divBdr>
    </w:div>
    <w:div w:id="445075772">
      <w:bodyDiv w:val="1"/>
      <w:marLeft w:val="0"/>
      <w:marRight w:val="0"/>
      <w:marTop w:val="0"/>
      <w:marBottom w:val="0"/>
      <w:divBdr>
        <w:top w:val="none" w:sz="0" w:space="0" w:color="auto"/>
        <w:left w:val="none" w:sz="0" w:space="0" w:color="auto"/>
        <w:bottom w:val="none" w:sz="0" w:space="0" w:color="auto"/>
        <w:right w:val="none" w:sz="0" w:space="0" w:color="auto"/>
      </w:divBdr>
    </w:div>
    <w:div w:id="477889135">
      <w:bodyDiv w:val="1"/>
      <w:marLeft w:val="0"/>
      <w:marRight w:val="0"/>
      <w:marTop w:val="0"/>
      <w:marBottom w:val="0"/>
      <w:divBdr>
        <w:top w:val="none" w:sz="0" w:space="0" w:color="auto"/>
        <w:left w:val="none" w:sz="0" w:space="0" w:color="auto"/>
        <w:bottom w:val="none" w:sz="0" w:space="0" w:color="auto"/>
        <w:right w:val="none" w:sz="0" w:space="0" w:color="auto"/>
      </w:divBdr>
    </w:div>
    <w:div w:id="479224837">
      <w:bodyDiv w:val="1"/>
      <w:marLeft w:val="0"/>
      <w:marRight w:val="0"/>
      <w:marTop w:val="0"/>
      <w:marBottom w:val="0"/>
      <w:divBdr>
        <w:top w:val="none" w:sz="0" w:space="0" w:color="auto"/>
        <w:left w:val="none" w:sz="0" w:space="0" w:color="auto"/>
        <w:bottom w:val="none" w:sz="0" w:space="0" w:color="auto"/>
        <w:right w:val="none" w:sz="0" w:space="0" w:color="auto"/>
      </w:divBdr>
    </w:div>
    <w:div w:id="503278693">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606425332">
      <w:bodyDiv w:val="1"/>
      <w:marLeft w:val="0"/>
      <w:marRight w:val="0"/>
      <w:marTop w:val="0"/>
      <w:marBottom w:val="0"/>
      <w:divBdr>
        <w:top w:val="none" w:sz="0" w:space="0" w:color="auto"/>
        <w:left w:val="none" w:sz="0" w:space="0" w:color="auto"/>
        <w:bottom w:val="none" w:sz="0" w:space="0" w:color="auto"/>
        <w:right w:val="none" w:sz="0" w:space="0" w:color="auto"/>
      </w:divBdr>
    </w:div>
    <w:div w:id="616911231">
      <w:bodyDiv w:val="1"/>
      <w:marLeft w:val="0"/>
      <w:marRight w:val="0"/>
      <w:marTop w:val="0"/>
      <w:marBottom w:val="0"/>
      <w:divBdr>
        <w:top w:val="none" w:sz="0" w:space="0" w:color="auto"/>
        <w:left w:val="none" w:sz="0" w:space="0" w:color="auto"/>
        <w:bottom w:val="none" w:sz="0" w:space="0" w:color="auto"/>
        <w:right w:val="none" w:sz="0" w:space="0" w:color="auto"/>
      </w:divBdr>
    </w:div>
    <w:div w:id="622417776">
      <w:bodyDiv w:val="1"/>
      <w:marLeft w:val="0"/>
      <w:marRight w:val="0"/>
      <w:marTop w:val="0"/>
      <w:marBottom w:val="0"/>
      <w:divBdr>
        <w:top w:val="none" w:sz="0" w:space="0" w:color="auto"/>
        <w:left w:val="none" w:sz="0" w:space="0" w:color="auto"/>
        <w:bottom w:val="none" w:sz="0" w:space="0" w:color="auto"/>
        <w:right w:val="none" w:sz="0" w:space="0" w:color="auto"/>
      </w:divBdr>
    </w:div>
    <w:div w:id="638658234">
      <w:bodyDiv w:val="1"/>
      <w:marLeft w:val="0"/>
      <w:marRight w:val="0"/>
      <w:marTop w:val="0"/>
      <w:marBottom w:val="0"/>
      <w:divBdr>
        <w:top w:val="none" w:sz="0" w:space="0" w:color="auto"/>
        <w:left w:val="none" w:sz="0" w:space="0" w:color="auto"/>
        <w:bottom w:val="none" w:sz="0" w:space="0" w:color="auto"/>
        <w:right w:val="none" w:sz="0" w:space="0" w:color="auto"/>
      </w:divBdr>
    </w:div>
    <w:div w:id="681472531">
      <w:bodyDiv w:val="1"/>
      <w:marLeft w:val="0"/>
      <w:marRight w:val="0"/>
      <w:marTop w:val="0"/>
      <w:marBottom w:val="0"/>
      <w:divBdr>
        <w:top w:val="none" w:sz="0" w:space="0" w:color="auto"/>
        <w:left w:val="none" w:sz="0" w:space="0" w:color="auto"/>
        <w:bottom w:val="none" w:sz="0" w:space="0" w:color="auto"/>
        <w:right w:val="none" w:sz="0" w:space="0" w:color="auto"/>
      </w:divBdr>
    </w:div>
    <w:div w:id="718941359">
      <w:bodyDiv w:val="1"/>
      <w:marLeft w:val="0"/>
      <w:marRight w:val="0"/>
      <w:marTop w:val="0"/>
      <w:marBottom w:val="0"/>
      <w:divBdr>
        <w:top w:val="none" w:sz="0" w:space="0" w:color="auto"/>
        <w:left w:val="none" w:sz="0" w:space="0" w:color="auto"/>
        <w:bottom w:val="none" w:sz="0" w:space="0" w:color="auto"/>
        <w:right w:val="none" w:sz="0" w:space="0" w:color="auto"/>
      </w:divBdr>
    </w:div>
    <w:div w:id="763647689">
      <w:bodyDiv w:val="1"/>
      <w:marLeft w:val="0"/>
      <w:marRight w:val="0"/>
      <w:marTop w:val="0"/>
      <w:marBottom w:val="0"/>
      <w:divBdr>
        <w:top w:val="none" w:sz="0" w:space="0" w:color="auto"/>
        <w:left w:val="none" w:sz="0" w:space="0" w:color="auto"/>
        <w:bottom w:val="none" w:sz="0" w:space="0" w:color="auto"/>
        <w:right w:val="none" w:sz="0" w:space="0" w:color="auto"/>
      </w:divBdr>
    </w:div>
    <w:div w:id="790586981">
      <w:bodyDiv w:val="1"/>
      <w:marLeft w:val="0"/>
      <w:marRight w:val="0"/>
      <w:marTop w:val="0"/>
      <w:marBottom w:val="0"/>
      <w:divBdr>
        <w:top w:val="none" w:sz="0" w:space="0" w:color="auto"/>
        <w:left w:val="none" w:sz="0" w:space="0" w:color="auto"/>
        <w:bottom w:val="none" w:sz="0" w:space="0" w:color="auto"/>
        <w:right w:val="none" w:sz="0" w:space="0" w:color="auto"/>
      </w:divBdr>
    </w:div>
    <w:div w:id="847988944">
      <w:bodyDiv w:val="1"/>
      <w:marLeft w:val="0"/>
      <w:marRight w:val="0"/>
      <w:marTop w:val="0"/>
      <w:marBottom w:val="0"/>
      <w:divBdr>
        <w:top w:val="none" w:sz="0" w:space="0" w:color="auto"/>
        <w:left w:val="none" w:sz="0" w:space="0" w:color="auto"/>
        <w:bottom w:val="none" w:sz="0" w:space="0" w:color="auto"/>
        <w:right w:val="none" w:sz="0" w:space="0" w:color="auto"/>
      </w:divBdr>
    </w:div>
    <w:div w:id="873423938">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1017731929">
      <w:bodyDiv w:val="1"/>
      <w:marLeft w:val="0"/>
      <w:marRight w:val="0"/>
      <w:marTop w:val="0"/>
      <w:marBottom w:val="0"/>
      <w:divBdr>
        <w:top w:val="none" w:sz="0" w:space="0" w:color="auto"/>
        <w:left w:val="none" w:sz="0" w:space="0" w:color="auto"/>
        <w:bottom w:val="none" w:sz="0" w:space="0" w:color="auto"/>
        <w:right w:val="none" w:sz="0" w:space="0" w:color="auto"/>
      </w:divBdr>
    </w:div>
    <w:div w:id="1114059877">
      <w:bodyDiv w:val="1"/>
      <w:marLeft w:val="0"/>
      <w:marRight w:val="0"/>
      <w:marTop w:val="0"/>
      <w:marBottom w:val="0"/>
      <w:divBdr>
        <w:top w:val="none" w:sz="0" w:space="0" w:color="auto"/>
        <w:left w:val="none" w:sz="0" w:space="0" w:color="auto"/>
        <w:bottom w:val="none" w:sz="0" w:space="0" w:color="auto"/>
        <w:right w:val="none" w:sz="0" w:space="0" w:color="auto"/>
      </w:divBdr>
    </w:div>
    <w:div w:id="1176649764">
      <w:bodyDiv w:val="1"/>
      <w:marLeft w:val="0"/>
      <w:marRight w:val="0"/>
      <w:marTop w:val="0"/>
      <w:marBottom w:val="0"/>
      <w:divBdr>
        <w:top w:val="none" w:sz="0" w:space="0" w:color="auto"/>
        <w:left w:val="none" w:sz="0" w:space="0" w:color="auto"/>
        <w:bottom w:val="none" w:sz="0" w:space="0" w:color="auto"/>
        <w:right w:val="none" w:sz="0" w:space="0" w:color="auto"/>
      </w:divBdr>
    </w:div>
    <w:div w:id="1256981012">
      <w:bodyDiv w:val="1"/>
      <w:marLeft w:val="0"/>
      <w:marRight w:val="0"/>
      <w:marTop w:val="0"/>
      <w:marBottom w:val="0"/>
      <w:divBdr>
        <w:top w:val="none" w:sz="0" w:space="0" w:color="auto"/>
        <w:left w:val="none" w:sz="0" w:space="0" w:color="auto"/>
        <w:bottom w:val="none" w:sz="0" w:space="0" w:color="auto"/>
        <w:right w:val="none" w:sz="0" w:space="0" w:color="auto"/>
      </w:divBdr>
    </w:div>
    <w:div w:id="1406342007">
      <w:bodyDiv w:val="1"/>
      <w:marLeft w:val="0"/>
      <w:marRight w:val="0"/>
      <w:marTop w:val="0"/>
      <w:marBottom w:val="0"/>
      <w:divBdr>
        <w:top w:val="none" w:sz="0" w:space="0" w:color="auto"/>
        <w:left w:val="none" w:sz="0" w:space="0" w:color="auto"/>
        <w:bottom w:val="none" w:sz="0" w:space="0" w:color="auto"/>
        <w:right w:val="none" w:sz="0" w:space="0" w:color="auto"/>
      </w:divBdr>
    </w:div>
    <w:div w:id="1407922904">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99479905">
      <w:bodyDiv w:val="1"/>
      <w:marLeft w:val="0"/>
      <w:marRight w:val="0"/>
      <w:marTop w:val="0"/>
      <w:marBottom w:val="0"/>
      <w:divBdr>
        <w:top w:val="none" w:sz="0" w:space="0" w:color="auto"/>
        <w:left w:val="none" w:sz="0" w:space="0" w:color="auto"/>
        <w:bottom w:val="none" w:sz="0" w:space="0" w:color="auto"/>
        <w:right w:val="none" w:sz="0" w:space="0" w:color="auto"/>
      </w:divBdr>
    </w:div>
    <w:div w:id="1706059810">
      <w:bodyDiv w:val="1"/>
      <w:marLeft w:val="0"/>
      <w:marRight w:val="0"/>
      <w:marTop w:val="0"/>
      <w:marBottom w:val="0"/>
      <w:divBdr>
        <w:top w:val="none" w:sz="0" w:space="0" w:color="auto"/>
        <w:left w:val="none" w:sz="0" w:space="0" w:color="auto"/>
        <w:bottom w:val="none" w:sz="0" w:space="0" w:color="auto"/>
        <w:right w:val="none" w:sz="0" w:space="0" w:color="auto"/>
      </w:divBdr>
    </w:div>
    <w:div w:id="1728529785">
      <w:bodyDiv w:val="1"/>
      <w:marLeft w:val="0"/>
      <w:marRight w:val="0"/>
      <w:marTop w:val="0"/>
      <w:marBottom w:val="0"/>
      <w:divBdr>
        <w:top w:val="none" w:sz="0" w:space="0" w:color="auto"/>
        <w:left w:val="none" w:sz="0" w:space="0" w:color="auto"/>
        <w:bottom w:val="none" w:sz="0" w:space="0" w:color="auto"/>
        <w:right w:val="none" w:sz="0" w:space="0" w:color="auto"/>
      </w:divBdr>
    </w:div>
    <w:div w:id="1748116766">
      <w:bodyDiv w:val="1"/>
      <w:marLeft w:val="0"/>
      <w:marRight w:val="0"/>
      <w:marTop w:val="0"/>
      <w:marBottom w:val="0"/>
      <w:divBdr>
        <w:top w:val="none" w:sz="0" w:space="0" w:color="auto"/>
        <w:left w:val="none" w:sz="0" w:space="0" w:color="auto"/>
        <w:bottom w:val="none" w:sz="0" w:space="0" w:color="auto"/>
        <w:right w:val="none" w:sz="0" w:space="0" w:color="auto"/>
      </w:divBdr>
    </w:div>
    <w:div w:id="1750617683">
      <w:bodyDiv w:val="1"/>
      <w:marLeft w:val="0"/>
      <w:marRight w:val="0"/>
      <w:marTop w:val="0"/>
      <w:marBottom w:val="0"/>
      <w:divBdr>
        <w:top w:val="none" w:sz="0" w:space="0" w:color="auto"/>
        <w:left w:val="none" w:sz="0" w:space="0" w:color="auto"/>
        <w:bottom w:val="none" w:sz="0" w:space="0" w:color="auto"/>
        <w:right w:val="none" w:sz="0" w:space="0" w:color="auto"/>
      </w:divBdr>
    </w:div>
    <w:div w:id="1775324355">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918203609">
      <w:bodyDiv w:val="1"/>
      <w:marLeft w:val="0"/>
      <w:marRight w:val="0"/>
      <w:marTop w:val="0"/>
      <w:marBottom w:val="0"/>
      <w:divBdr>
        <w:top w:val="none" w:sz="0" w:space="0" w:color="auto"/>
        <w:left w:val="none" w:sz="0" w:space="0" w:color="auto"/>
        <w:bottom w:val="none" w:sz="0" w:space="0" w:color="auto"/>
        <w:right w:val="none" w:sz="0" w:space="0" w:color="auto"/>
      </w:divBdr>
    </w:div>
    <w:div w:id="1924992626">
      <w:bodyDiv w:val="1"/>
      <w:marLeft w:val="0"/>
      <w:marRight w:val="0"/>
      <w:marTop w:val="0"/>
      <w:marBottom w:val="0"/>
      <w:divBdr>
        <w:top w:val="none" w:sz="0" w:space="0" w:color="auto"/>
        <w:left w:val="none" w:sz="0" w:space="0" w:color="auto"/>
        <w:bottom w:val="none" w:sz="0" w:space="0" w:color="auto"/>
        <w:right w:val="none" w:sz="0" w:space="0" w:color="auto"/>
      </w:divBdr>
    </w:div>
    <w:div w:id="1961648066">
      <w:bodyDiv w:val="1"/>
      <w:marLeft w:val="0"/>
      <w:marRight w:val="0"/>
      <w:marTop w:val="0"/>
      <w:marBottom w:val="0"/>
      <w:divBdr>
        <w:top w:val="none" w:sz="0" w:space="0" w:color="auto"/>
        <w:left w:val="none" w:sz="0" w:space="0" w:color="auto"/>
        <w:bottom w:val="none" w:sz="0" w:space="0" w:color="auto"/>
        <w:right w:val="none" w:sz="0" w:space="0" w:color="auto"/>
      </w:divBdr>
    </w:div>
    <w:div w:id="2011789840">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55305102">
      <w:bodyDiv w:val="1"/>
      <w:marLeft w:val="0"/>
      <w:marRight w:val="0"/>
      <w:marTop w:val="0"/>
      <w:marBottom w:val="0"/>
      <w:divBdr>
        <w:top w:val="none" w:sz="0" w:space="0" w:color="auto"/>
        <w:left w:val="none" w:sz="0" w:space="0" w:color="auto"/>
        <w:bottom w:val="none" w:sz="0" w:space="0" w:color="auto"/>
        <w:right w:val="none" w:sz="0" w:space="0" w:color="auto"/>
      </w:divBdr>
    </w:div>
    <w:div w:id="21387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1776</Words>
  <Characters>10127</Characters>
  <Application>Microsoft Office Word</Application>
  <DocSecurity>0</DocSecurity>
  <Lines>84</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89</cp:revision>
  <cp:lastPrinted>2021-07-08T06:56:00Z</cp:lastPrinted>
  <dcterms:created xsi:type="dcterms:W3CDTF">2020-07-07T05:45:00Z</dcterms:created>
  <dcterms:modified xsi:type="dcterms:W3CDTF">2024-07-04T07:26:00Z</dcterms:modified>
</cp:coreProperties>
</file>