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F73F2" w14:textId="77777777" w:rsidR="004E72E0" w:rsidRDefault="004E72E0" w:rsidP="00621CF3">
      <w:pPr>
        <w:spacing w:after="0"/>
      </w:pPr>
    </w:p>
    <w:p w14:paraId="0BCFE8F4" w14:textId="77777777" w:rsidR="006C07D6" w:rsidRDefault="006C07D6" w:rsidP="00621CF3">
      <w:pPr>
        <w:spacing w:after="0"/>
      </w:pPr>
    </w:p>
    <w:p w14:paraId="42288A8B" w14:textId="77777777" w:rsidR="00032E31" w:rsidRDefault="00032E31" w:rsidP="00621CF3">
      <w:pPr>
        <w:spacing w:after="0"/>
      </w:pPr>
    </w:p>
    <w:p w14:paraId="2857CF4A" w14:textId="77777777" w:rsidR="00032E31" w:rsidRDefault="00032E31" w:rsidP="00621CF3">
      <w:pPr>
        <w:spacing w:after="0"/>
      </w:pPr>
    </w:p>
    <w:p w14:paraId="4BB806B9" w14:textId="77777777" w:rsidR="00032E31" w:rsidRDefault="00032E31" w:rsidP="00621CF3">
      <w:pPr>
        <w:spacing w:after="0"/>
      </w:pPr>
    </w:p>
    <w:p w14:paraId="6DE6D3ED" w14:textId="77777777" w:rsidR="00032E31" w:rsidRDefault="00032E31" w:rsidP="00621CF3">
      <w:pPr>
        <w:spacing w:after="0"/>
      </w:pPr>
    </w:p>
    <w:p w14:paraId="4B5D1A71" w14:textId="77777777" w:rsidR="00032E31" w:rsidRDefault="00032E31" w:rsidP="00621CF3">
      <w:pPr>
        <w:spacing w:after="0"/>
      </w:pPr>
    </w:p>
    <w:p w14:paraId="4DCC37E4" w14:textId="77777777" w:rsidR="00032E31" w:rsidRDefault="00032E31" w:rsidP="00621CF3">
      <w:pPr>
        <w:spacing w:after="0"/>
      </w:pPr>
    </w:p>
    <w:p w14:paraId="2E8913AD" w14:textId="77777777" w:rsidR="00032E31" w:rsidRDefault="00032E31" w:rsidP="00621CF3">
      <w:pPr>
        <w:spacing w:after="0"/>
      </w:pPr>
    </w:p>
    <w:p w14:paraId="5BC49243" w14:textId="77777777" w:rsidR="00032E31" w:rsidRDefault="00032E31" w:rsidP="00621CF3">
      <w:pPr>
        <w:spacing w:after="0"/>
      </w:pPr>
    </w:p>
    <w:p w14:paraId="1F2BF9F2" w14:textId="77777777" w:rsidR="006C07D6" w:rsidRDefault="006C07D6" w:rsidP="00621CF3">
      <w:pPr>
        <w:spacing w:after="0"/>
      </w:pPr>
    </w:p>
    <w:p w14:paraId="75207813" w14:textId="77777777" w:rsidR="006C07D6" w:rsidRPr="00621CF3" w:rsidRDefault="006C07D6" w:rsidP="00621CF3">
      <w:pPr>
        <w:spacing w:after="0"/>
        <w:rPr>
          <w:rFonts w:ascii="Times New Roman" w:hAnsi="Times New Roman" w:cs="Times New Roman"/>
          <w:sz w:val="24"/>
          <w:szCs w:val="24"/>
        </w:rPr>
      </w:pPr>
    </w:p>
    <w:p w14:paraId="4EA77FAF" w14:textId="44B111B4" w:rsidR="00EC15BE" w:rsidRPr="00032E31" w:rsidRDefault="00621CF3" w:rsidP="006554C1">
      <w:pPr>
        <w:spacing w:after="0"/>
        <w:jc w:val="center"/>
        <w:rPr>
          <w:rFonts w:ascii="Times New Roman" w:hAnsi="Times New Roman" w:cs="Times New Roman"/>
          <w:b/>
          <w:sz w:val="28"/>
          <w:szCs w:val="28"/>
        </w:rPr>
      </w:pPr>
      <w:r w:rsidRPr="00032E31">
        <w:rPr>
          <w:rFonts w:ascii="Times New Roman" w:hAnsi="Times New Roman" w:cs="Times New Roman"/>
          <w:b/>
          <w:sz w:val="28"/>
          <w:szCs w:val="28"/>
        </w:rPr>
        <w:t xml:space="preserve">HEDEF PORTFÖY </w:t>
      </w:r>
      <w:r w:rsidR="00036EBA">
        <w:rPr>
          <w:rFonts w:ascii="Times New Roman" w:hAnsi="Times New Roman" w:cs="Times New Roman"/>
          <w:b/>
          <w:sz w:val="28"/>
          <w:szCs w:val="28"/>
        </w:rPr>
        <w:t>ARTI</w:t>
      </w:r>
      <w:r w:rsidR="00EC15BE">
        <w:rPr>
          <w:rFonts w:ascii="Times New Roman" w:hAnsi="Times New Roman" w:cs="Times New Roman"/>
          <w:b/>
          <w:sz w:val="28"/>
          <w:szCs w:val="28"/>
        </w:rPr>
        <w:t xml:space="preserve"> SER</w:t>
      </w:r>
      <w:r w:rsidR="006554C1">
        <w:rPr>
          <w:rFonts w:ascii="Times New Roman" w:hAnsi="Times New Roman" w:cs="Times New Roman"/>
          <w:b/>
          <w:sz w:val="28"/>
          <w:szCs w:val="28"/>
        </w:rPr>
        <w:t xml:space="preserve">BEST </w:t>
      </w:r>
      <w:r w:rsidR="00516D29">
        <w:rPr>
          <w:rFonts w:ascii="Times New Roman" w:hAnsi="Times New Roman" w:cs="Times New Roman"/>
          <w:b/>
          <w:sz w:val="28"/>
          <w:szCs w:val="28"/>
        </w:rPr>
        <w:t xml:space="preserve">(TL) </w:t>
      </w:r>
      <w:r w:rsidR="006554C1">
        <w:rPr>
          <w:rFonts w:ascii="Times New Roman" w:hAnsi="Times New Roman" w:cs="Times New Roman"/>
          <w:b/>
          <w:sz w:val="28"/>
          <w:szCs w:val="28"/>
        </w:rPr>
        <w:t>FON</w:t>
      </w:r>
    </w:p>
    <w:p w14:paraId="41D4027C" w14:textId="77777777" w:rsidR="00621CF3" w:rsidRPr="00621CF3" w:rsidRDefault="00621CF3" w:rsidP="00621CF3">
      <w:pPr>
        <w:spacing w:after="0"/>
        <w:jc w:val="center"/>
        <w:rPr>
          <w:rFonts w:ascii="Times New Roman" w:hAnsi="Times New Roman" w:cs="Times New Roman"/>
          <w:sz w:val="24"/>
          <w:szCs w:val="24"/>
        </w:rPr>
      </w:pPr>
    </w:p>
    <w:p w14:paraId="7D7018FF" w14:textId="53D79E0D" w:rsidR="00621CF3" w:rsidRPr="00237C1F" w:rsidRDefault="00036EBA" w:rsidP="00621CF3">
      <w:pPr>
        <w:spacing w:after="0"/>
        <w:jc w:val="center"/>
        <w:rPr>
          <w:rFonts w:ascii="Times New Roman" w:hAnsi="Times New Roman" w:cs="Times New Roman"/>
          <w:sz w:val="24"/>
          <w:szCs w:val="24"/>
        </w:rPr>
      </w:pPr>
      <w:r>
        <w:rPr>
          <w:rFonts w:ascii="Times New Roman" w:hAnsi="Times New Roman" w:cs="Times New Roman"/>
          <w:sz w:val="24"/>
          <w:szCs w:val="24"/>
        </w:rPr>
        <w:t>0</w:t>
      </w:r>
      <w:r w:rsidR="006E7251">
        <w:rPr>
          <w:rFonts w:ascii="Times New Roman" w:hAnsi="Times New Roman" w:cs="Times New Roman"/>
          <w:sz w:val="24"/>
          <w:szCs w:val="24"/>
        </w:rPr>
        <w:t>1 OCAK</w:t>
      </w:r>
      <w:r w:rsidR="00CE6762">
        <w:rPr>
          <w:rFonts w:ascii="Times New Roman" w:hAnsi="Times New Roman" w:cs="Times New Roman"/>
          <w:sz w:val="24"/>
          <w:szCs w:val="24"/>
        </w:rPr>
        <w:t xml:space="preserve"> –</w:t>
      </w:r>
      <w:r w:rsidR="00AD7652">
        <w:rPr>
          <w:rFonts w:ascii="Times New Roman" w:hAnsi="Times New Roman" w:cs="Times New Roman"/>
          <w:sz w:val="24"/>
          <w:szCs w:val="24"/>
        </w:rPr>
        <w:t xml:space="preserve"> </w:t>
      </w:r>
      <w:r w:rsidR="00AD7652" w:rsidRPr="00AD7652">
        <w:rPr>
          <w:rFonts w:ascii="Times New Roman" w:hAnsi="Times New Roman" w:cs="Times New Roman"/>
          <w:sz w:val="24"/>
          <w:szCs w:val="24"/>
        </w:rPr>
        <w:t xml:space="preserve">30 HAZİRAN 2024 </w:t>
      </w:r>
      <w:r w:rsidR="00621CF3" w:rsidRPr="00237C1F">
        <w:rPr>
          <w:rFonts w:ascii="Times New Roman" w:hAnsi="Times New Roman" w:cs="Times New Roman"/>
          <w:sz w:val="24"/>
          <w:szCs w:val="24"/>
        </w:rPr>
        <w:t xml:space="preserve">DÖNEMİNE AİT </w:t>
      </w:r>
    </w:p>
    <w:p w14:paraId="507BF98E" w14:textId="0AA59EDA" w:rsidR="00621CF3" w:rsidRDefault="00621CF3" w:rsidP="00621CF3">
      <w:pPr>
        <w:spacing w:after="0"/>
        <w:jc w:val="center"/>
        <w:rPr>
          <w:rFonts w:ascii="Times New Roman" w:hAnsi="Times New Roman" w:cs="Times New Roman"/>
          <w:sz w:val="24"/>
          <w:szCs w:val="24"/>
        </w:rPr>
      </w:pPr>
      <w:r w:rsidRPr="00237C1F">
        <w:rPr>
          <w:rFonts w:ascii="Times New Roman" w:hAnsi="Times New Roman" w:cs="Times New Roman"/>
          <w:sz w:val="24"/>
          <w:szCs w:val="24"/>
        </w:rPr>
        <w:t>PERFORMANS SUNU</w:t>
      </w:r>
      <w:r w:rsidR="007403AA">
        <w:rPr>
          <w:rFonts w:ascii="Times New Roman" w:hAnsi="Times New Roman" w:cs="Times New Roman"/>
          <w:sz w:val="24"/>
          <w:szCs w:val="24"/>
        </w:rPr>
        <w:t>M</w:t>
      </w:r>
      <w:r w:rsidRPr="00237C1F">
        <w:rPr>
          <w:rFonts w:ascii="Times New Roman" w:hAnsi="Times New Roman" w:cs="Times New Roman"/>
          <w:sz w:val="24"/>
          <w:szCs w:val="24"/>
        </w:rPr>
        <w:t xml:space="preserve"> RAPORU</w:t>
      </w:r>
    </w:p>
    <w:p w14:paraId="3F218D6F" w14:textId="77777777" w:rsidR="00621CF3" w:rsidRDefault="00621CF3" w:rsidP="00621CF3">
      <w:pPr>
        <w:spacing w:after="0"/>
        <w:jc w:val="center"/>
        <w:rPr>
          <w:rFonts w:ascii="Times New Roman" w:hAnsi="Times New Roman" w:cs="Times New Roman"/>
          <w:sz w:val="24"/>
          <w:szCs w:val="24"/>
        </w:rPr>
      </w:pPr>
    </w:p>
    <w:p w14:paraId="053BB4CB" w14:textId="77777777" w:rsidR="00621CF3" w:rsidRDefault="00621CF3" w:rsidP="00621CF3">
      <w:pPr>
        <w:spacing w:after="0"/>
        <w:jc w:val="center"/>
        <w:rPr>
          <w:rFonts w:ascii="Times New Roman" w:hAnsi="Times New Roman" w:cs="Times New Roman"/>
          <w:sz w:val="24"/>
          <w:szCs w:val="24"/>
        </w:rPr>
      </w:pPr>
    </w:p>
    <w:p w14:paraId="5E937E93" w14:textId="77777777" w:rsidR="00621CF3" w:rsidRDefault="00621CF3" w:rsidP="00621CF3">
      <w:pPr>
        <w:spacing w:after="0"/>
        <w:jc w:val="center"/>
        <w:rPr>
          <w:rFonts w:ascii="Times New Roman" w:hAnsi="Times New Roman" w:cs="Times New Roman"/>
          <w:sz w:val="24"/>
          <w:szCs w:val="24"/>
        </w:rPr>
      </w:pPr>
    </w:p>
    <w:p w14:paraId="5B6BBB65" w14:textId="77777777" w:rsidR="00621CF3" w:rsidRDefault="00621CF3" w:rsidP="00621CF3">
      <w:pPr>
        <w:spacing w:after="0"/>
        <w:jc w:val="center"/>
        <w:rPr>
          <w:rFonts w:ascii="Times New Roman" w:hAnsi="Times New Roman" w:cs="Times New Roman"/>
          <w:sz w:val="24"/>
          <w:szCs w:val="24"/>
        </w:rPr>
      </w:pPr>
    </w:p>
    <w:p w14:paraId="4F010468" w14:textId="77777777" w:rsidR="00621CF3" w:rsidRDefault="00621CF3" w:rsidP="00621CF3">
      <w:pPr>
        <w:spacing w:after="0"/>
        <w:jc w:val="center"/>
        <w:rPr>
          <w:rFonts w:ascii="Times New Roman" w:hAnsi="Times New Roman" w:cs="Times New Roman"/>
          <w:sz w:val="24"/>
          <w:szCs w:val="24"/>
        </w:rPr>
      </w:pPr>
    </w:p>
    <w:p w14:paraId="7512E724" w14:textId="77777777" w:rsidR="00621CF3" w:rsidRDefault="00621CF3" w:rsidP="00621CF3">
      <w:pPr>
        <w:spacing w:after="0"/>
        <w:jc w:val="center"/>
        <w:rPr>
          <w:rFonts w:ascii="Times New Roman" w:hAnsi="Times New Roman" w:cs="Times New Roman"/>
          <w:sz w:val="24"/>
          <w:szCs w:val="24"/>
        </w:rPr>
      </w:pPr>
    </w:p>
    <w:p w14:paraId="713A365A" w14:textId="77777777" w:rsidR="00621CF3" w:rsidRDefault="00621CF3" w:rsidP="00621CF3">
      <w:pPr>
        <w:spacing w:after="0"/>
        <w:jc w:val="center"/>
        <w:rPr>
          <w:rFonts w:ascii="Times New Roman" w:hAnsi="Times New Roman" w:cs="Times New Roman"/>
          <w:sz w:val="24"/>
          <w:szCs w:val="24"/>
        </w:rPr>
      </w:pPr>
    </w:p>
    <w:p w14:paraId="614418A6" w14:textId="77777777" w:rsidR="00621CF3" w:rsidRDefault="00621CF3" w:rsidP="00621CF3">
      <w:pPr>
        <w:spacing w:after="0"/>
        <w:jc w:val="center"/>
        <w:rPr>
          <w:rFonts w:ascii="Times New Roman" w:hAnsi="Times New Roman" w:cs="Times New Roman"/>
          <w:sz w:val="24"/>
          <w:szCs w:val="24"/>
        </w:rPr>
      </w:pPr>
    </w:p>
    <w:p w14:paraId="0C727F2F" w14:textId="77777777" w:rsidR="00621CF3" w:rsidRDefault="00621CF3" w:rsidP="00621CF3">
      <w:pPr>
        <w:spacing w:after="0"/>
        <w:jc w:val="center"/>
        <w:rPr>
          <w:rFonts w:ascii="Times New Roman" w:hAnsi="Times New Roman" w:cs="Times New Roman"/>
          <w:sz w:val="24"/>
          <w:szCs w:val="24"/>
        </w:rPr>
      </w:pPr>
    </w:p>
    <w:p w14:paraId="1F85F09D" w14:textId="77777777" w:rsidR="00621CF3" w:rsidRDefault="00621CF3" w:rsidP="00621CF3">
      <w:pPr>
        <w:spacing w:after="0"/>
        <w:jc w:val="center"/>
        <w:rPr>
          <w:rFonts w:ascii="Times New Roman" w:hAnsi="Times New Roman" w:cs="Times New Roman"/>
          <w:sz w:val="24"/>
          <w:szCs w:val="24"/>
        </w:rPr>
      </w:pPr>
    </w:p>
    <w:p w14:paraId="706C75E6" w14:textId="77777777" w:rsidR="00621CF3" w:rsidRDefault="00621CF3" w:rsidP="00621CF3">
      <w:pPr>
        <w:spacing w:after="0"/>
        <w:jc w:val="center"/>
        <w:rPr>
          <w:rFonts w:ascii="Times New Roman" w:hAnsi="Times New Roman" w:cs="Times New Roman"/>
          <w:sz w:val="24"/>
          <w:szCs w:val="24"/>
        </w:rPr>
      </w:pPr>
    </w:p>
    <w:p w14:paraId="0BF3E19C" w14:textId="77777777" w:rsidR="00621CF3" w:rsidRDefault="00621CF3" w:rsidP="00621CF3">
      <w:pPr>
        <w:spacing w:after="0"/>
        <w:jc w:val="center"/>
        <w:rPr>
          <w:rFonts w:ascii="Times New Roman" w:hAnsi="Times New Roman" w:cs="Times New Roman"/>
          <w:sz w:val="24"/>
          <w:szCs w:val="24"/>
        </w:rPr>
      </w:pPr>
    </w:p>
    <w:p w14:paraId="2622C443" w14:textId="77777777" w:rsidR="00621CF3" w:rsidRDefault="00621CF3" w:rsidP="00621CF3">
      <w:pPr>
        <w:spacing w:after="0"/>
        <w:jc w:val="center"/>
        <w:rPr>
          <w:rFonts w:ascii="Times New Roman" w:hAnsi="Times New Roman" w:cs="Times New Roman"/>
          <w:sz w:val="24"/>
          <w:szCs w:val="24"/>
        </w:rPr>
      </w:pPr>
    </w:p>
    <w:p w14:paraId="1ED006B9" w14:textId="77777777" w:rsidR="00621CF3" w:rsidRDefault="00621CF3" w:rsidP="00621CF3">
      <w:pPr>
        <w:spacing w:after="0"/>
        <w:jc w:val="center"/>
        <w:rPr>
          <w:rFonts w:ascii="Times New Roman" w:hAnsi="Times New Roman" w:cs="Times New Roman"/>
          <w:sz w:val="24"/>
          <w:szCs w:val="24"/>
        </w:rPr>
      </w:pPr>
    </w:p>
    <w:p w14:paraId="2D9EAC84" w14:textId="77777777" w:rsidR="00AD4058" w:rsidRDefault="00AD4058" w:rsidP="00621CF3">
      <w:pPr>
        <w:spacing w:after="0"/>
        <w:jc w:val="center"/>
        <w:rPr>
          <w:rFonts w:ascii="Times New Roman" w:hAnsi="Times New Roman" w:cs="Times New Roman"/>
          <w:sz w:val="24"/>
          <w:szCs w:val="24"/>
        </w:rPr>
      </w:pPr>
    </w:p>
    <w:p w14:paraId="3B4D1E78" w14:textId="77777777" w:rsidR="00AD4058" w:rsidRDefault="00AD4058" w:rsidP="00621CF3">
      <w:pPr>
        <w:spacing w:after="0"/>
        <w:jc w:val="center"/>
        <w:rPr>
          <w:rFonts w:ascii="Times New Roman" w:hAnsi="Times New Roman" w:cs="Times New Roman"/>
          <w:sz w:val="24"/>
          <w:szCs w:val="24"/>
        </w:rPr>
      </w:pPr>
    </w:p>
    <w:p w14:paraId="1896A542" w14:textId="77777777" w:rsidR="00AD4058" w:rsidRDefault="00AD4058" w:rsidP="00621CF3">
      <w:pPr>
        <w:spacing w:after="0"/>
        <w:jc w:val="center"/>
        <w:rPr>
          <w:rFonts w:ascii="Times New Roman" w:hAnsi="Times New Roman" w:cs="Times New Roman"/>
          <w:sz w:val="24"/>
          <w:szCs w:val="24"/>
        </w:rPr>
      </w:pPr>
    </w:p>
    <w:p w14:paraId="664E8946" w14:textId="77777777" w:rsidR="00AD4058" w:rsidRDefault="00AD4058" w:rsidP="00621CF3">
      <w:pPr>
        <w:spacing w:after="0"/>
        <w:jc w:val="center"/>
        <w:rPr>
          <w:rFonts w:ascii="Times New Roman" w:hAnsi="Times New Roman" w:cs="Times New Roman"/>
          <w:sz w:val="24"/>
          <w:szCs w:val="24"/>
        </w:rPr>
      </w:pPr>
    </w:p>
    <w:p w14:paraId="6DF53A63" w14:textId="77777777" w:rsidR="00621CF3" w:rsidRDefault="00621CF3" w:rsidP="00621CF3">
      <w:pPr>
        <w:spacing w:after="0"/>
        <w:jc w:val="center"/>
        <w:rPr>
          <w:rFonts w:ascii="Times New Roman" w:hAnsi="Times New Roman" w:cs="Times New Roman"/>
          <w:sz w:val="24"/>
          <w:szCs w:val="24"/>
        </w:rPr>
      </w:pPr>
    </w:p>
    <w:p w14:paraId="73CDE0BF" w14:textId="77777777" w:rsidR="00621CF3" w:rsidRDefault="00621CF3" w:rsidP="00621CF3">
      <w:pPr>
        <w:spacing w:after="0"/>
        <w:jc w:val="center"/>
        <w:rPr>
          <w:rFonts w:ascii="Times New Roman" w:hAnsi="Times New Roman" w:cs="Times New Roman"/>
          <w:sz w:val="24"/>
          <w:szCs w:val="24"/>
        </w:rPr>
      </w:pPr>
    </w:p>
    <w:p w14:paraId="3C33F819" w14:textId="77777777" w:rsidR="00621CF3" w:rsidRDefault="00621CF3" w:rsidP="00621CF3">
      <w:pPr>
        <w:spacing w:after="0"/>
        <w:jc w:val="center"/>
        <w:rPr>
          <w:rFonts w:ascii="Times New Roman" w:hAnsi="Times New Roman" w:cs="Times New Roman"/>
          <w:sz w:val="24"/>
          <w:szCs w:val="24"/>
        </w:rPr>
      </w:pPr>
    </w:p>
    <w:p w14:paraId="30C1A289" w14:textId="77777777" w:rsidR="00621CF3" w:rsidRDefault="00621CF3" w:rsidP="00621CF3">
      <w:pPr>
        <w:spacing w:after="0"/>
        <w:jc w:val="center"/>
        <w:rPr>
          <w:rFonts w:ascii="Times New Roman" w:hAnsi="Times New Roman" w:cs="Times New Roman"/>
          <w:sz w:val="24"/>
          <w:szCs w:val="24"/>
        </w:rPr>
      </w:pPr>
    </w:p>
    <w:p w14:paraId="0F85383D" w14:textId="77777777" w:rsidR="00621CF3" w:rsidRDefault="00621CF3" w:rsidP="00621CF3">
      <w:pPr>
        <w:spacing w:after="0"/>
        <w:jc w:val="center"/>
        <w:rPr>
          <w:rFonts w:ascii="Times New Roman" w:hAnsi="Times New Roman" w:cs="Times New Roman"/>
          <w:sz w:val="24"/>
          <w:szCs w:val="24"/>
        </w:rPr>
      </w:pPr>
    </w:p>
    <w:p w14:paraId="04CB472B" w14:textId="77777777" w:rsidR="00621CF3" w:rsidRDefault="00621CF3" w:rsidP="00621CF3">
      <w:pPr>
        <w:spacing w:after="0"/>
        <w:jc w:val="center"/>
        <w:rPr>
          <w:rFonts w:ascii="Times New Roman" w:hAnsi="Times New Roman" w:cs="Times New Roman"/>
          <w:sz w:val="24"/>
          <w:szCs w:val="24"/>
        </w:rPr>
      </w:pPr>
    </w:p>
    <w:p w14:paraId="0575E948" w14:textId="77777777" w:rsidR="00621CF3" w:rsidRDefault="00621CF3" w:rsidP="00621CF3">
      <w:pPr>
        <w:spacing w:after="0"/>
        <w:jc w:val="center"/>
        <w:rPr>
          <w:rFonts w:ascii="Times New Roman" w:hAnsi="Times New Roman" w:cs="Times New Roman"/>
          <w:sz w:val="24"/>
          <w:szCs w:val="24"/>
        </w:rPr>
      </w:pPr>
    </w:p>
    <w:p w14:paraId="17832C86" w14:textId="77777777" w:rsidR="00621CF3" w:rsidRDefault="00621CF3" w:rsidP="00621CF3">
      <w:pPr>
        <w:spacing w:after="0"/>
        <w:jc w:val="center"/>
        <w:rPr>
          <w:rFonts w:ascii="Times New Roman" w:hAnsi="Times New Roman" w:cs="Times New Roman"/>
          <w:sz w:val="24"/>
          <w:szCs w:val="24"/>
        </w:rPr>
      </w:pPr>
    </w:p>
    <w:p w14:paraId="1E4FE174" w14:textId="77777777" w:rsidR="00621CF3" w:rsidRDefault="00621CF3" w:rsidP="00621CF3">
      <w:pPr>
        <w:spacing w:after="0"/>
        <w:jc w:val="center"/>
        <w:rPr>
          <w:rFonts w:ascii="Times New Roman" w:hAnsi="Times New Roman" w:cs="Times New Roman"/>
          <w:sz w:val="24"/>
          <w:szCs w:val="24"/>
        </w:rPr>
      </w:pPr>
    </w:p>
    <w:p w14:paraId="7988F1A2" w14:textId="77777777" w:rsidR="00621CF3" w:rsidRDefault="00621CF3" w:rsidP="00621CF3">
      <w:pPr>
        <w:spacing w:after="0"/>
        <w:jc w:val="center"/>
        <w:rPr>
          <w:rFonts w:ascii="Times New Roman" w:hAnsi="Times New Roman" w:cs="Times New Roman"/>
          <w:sz w:val="24"/>
          <w:szCs w:val="24"/>
        </w:rPr>
      </w:pPr>
    </w:p>
    <w:p w14:paraId="15AAD388" w14:textId="77777777" w:rsidR="00621CF3" w:rsidRDefault="00621CF3" w:rsidP="00621CF3">
      <w:pPr>
        <w:spacing w:after="0"/>
        <w:jc w:val="center"/>
        <w:rPr>
          <w:rFonts w:ascii="Times New Roman" w:hAnsi="Times New Roman" w:cs="Times New Roman"/>
          <w:sz w:val="24"/>
          <w:szCs w:val="24"/>
        </w:rPr>
      </w:pPr>
    </w:p>
    <w:p w14:paraId="5581CFA9" w14:textId="77777777" w:rsidR="00621CF3" w:rsidRDefault="00621CF3" w:rsidP="00621CF3">
      <w:pPr>
        <w:spacing w:after="0"/>
        <w:jc w:val="center"/>
        <w:rPr>
          <w:rFonts w:ascii="Times New Roman" w:hAnsi="Times New Roman" w:cs="Times New Roman"/>
          <w:sz w:val="24"/>
          <w:szCs w:val="24"/>
        </w:rPr>
      </w:pPr>
    </w:p>
    <w:p w14:paraId="70087CA1" w14:textId="77777777" w:rsidR="00621CF3" w:rsidRDefault="00621CF3" w:rsidP="00621CF3">
      <w:pPr>
        <w:spacing w:after="0"/>
        <w:jc w:val="center"/>
        <w:rPr>
          <w:rFonts w:ascii="Times New Roman" w:hAnsi="Times New Roman" w:cs="Times New Roman"/>
          <w:sz w:val="24"/>
          <w:szCs w:val="24"/>
        </w:rPr>
      </w:pPr>
    </w:p>
    <w:p w14:paraId="36772C9F" w14:textId="77777777" w:rsidR="00621CF3" w:rsidRPr="004E6755" w:rsidRDefault="00621CF3" w:rsidP="00621CF3">
      <w:pPr>
        <w:pStyle w:val="ListeParagraf"/>
        <w:numPr>
          <w:ilvl w:val="0"/>
          <w:numId w:val="1"/>
        </w:numPr>
        <w:rPr>
          <w:rFonts w:ascii="Times New Roman" w:hAnsi="Times New Roman" w:cs="Times New Roman"/>
          <w:b/>
          <w:sz w:val="24"/>
          <w:szCs w:val="24"/>
        </w:rPr>
      </w:pPr>
      <w:r w:rsidRPr="004E6755">
        <w:rPr>
          <w:rFonts w:ascii="Times New Roman" w:hAnsi="Times New Roman" w:cs="Times New Roman"/>
          <w:b/>
          <w:sz w:val="24"/>
          <w:szCs w:val="24"/>
        </w:rPr>
        <w:lastRenderedPageBreak/>
        <w:t>TANITICI BİLGİLER</w:t>
      </w:r>
    </w:p>
    <w:tbl>
      <w:tblPr>
        <w:tblStyle w:val="TabloKlavuzu"/>
        <w:tblW w:w="9322" w:type="dxa"/>
        <w:tblLook w:val="04A0" w:firstRow="1" w:lastRow="0" w:firstColumn="1" w:lastColumn="0" w:noHBand="0" w:noVBand="1"/>
      </w:tblPr>
      <w:tblGrid>
        <w:gridCol w:w="1820"/>
        <w:gridCol w:w="1716"/>
        <w:gridCol w:w="5786"/>
      </w:tblGrid>
      <w:tr w:rsidR="001B1348" w:rsidRPr="00BE37F7" w14:paraId="1687B3A0" w14:textId="77777777" w:rsidTr="0089387A">
        <w:trPr>
          <w:trHeight w:val="818"/>
        </w:trPr>
        <w:tc>
          <w:tcPr>
            <w:tcW w:w="3510" w:type="dxa"/>
            <w:gridSpan w:val="2"/>
          </w:tcPr>
          <w:p w14:paraId="14F7997E" w14:textId="77777777" w:rsidR="001B1348" w:rsidRPr="00BE37F7" w:rsidRDefault="001B1348" w:rsidP="001B1348">
            <w:pPr>
              <w:jc w:val="center"/>
              <w:rPr>
                <w:rFonts w:ascii="Times New Roman" w:hAnsi="Times New Roman" w:cs="Times New Roman"/>
                <w:b/>
                <w:sz w:val="24"/>
                <w:szCs w:val="24"/>
              </w:rPr>
            </w:pPr>
            <w:r w:rsidRPr="00BE37F7">
              <w:rPr>
                <w:rFonts w:ascii="Times New Roman" w:hAnsi="Times New Roman" w:cs="Times New Roman"/>
                <w:b/>
                <w:sz w:val="24"/>
                <w:szCs w:val="24"/>
              </w:rPr>
              <w:t>PORTFÖYE BAKIŞ</w:t>
            </w:r>
          </w:p>
          <w:p w14:paraId="79C8466B" w14:textId="77777777" w:rsidR="001B1348" w:rsidRPr="00BE37F7" w:rsidRDefault="001B1348" w:rsidP="001B1348">
            <w:pPr>
              <w:jc w:val="center"/>
              <w:rPr>
                <w:rFonts w:ascii="Times New Roman" w:hAnsi="Times New Roman" w:cs="Times New Roman"/>
                <w:sz w:val="24"/>
                <w:szCs w:val="24"/>
              </w:rPr>
            </w:pPr>
            <w:r w:rsidRPr="00BE37F7">
              <w:rPr>
                <w:rFonts w:ascii="Times New Roman" w:hAnsi="Times New Roman" w:cs="Times New Roman"/>
                <w:sz w:val="24"/>
                <w:szCs w:val="24"/>
              </w:rPr>
              <w:t>Fon’un Halka Arz Tarihi:</w:t>
            </w:r>
          </w:p>
          <w:p w14:paraId="13427A4C" w14:textId="536C9284" w:rsidR="001B1348" w:rsidRPr="00BE37F7" w:rsidRDefault="00036EBA" w:rsidP="001B1348">
            <w:pPr>
              <w:jc w:val="center"/>
              <w:rPr>
                <w:rFonts w:ascii="Times New Roman" w:hAnsi="Times New Roman" w:cs="Times New Roman"/>
                <w:sz w:val="24"/>
                <w:szCs w:val="24"/>
              </w:rPr>
            </w:pPr>
            <w:r>
              <w:rPr>
                <w:rFonts w:ascii="Times New Roman" w:hAnsi="Times New Roman" w:cs="Times New Roman"/>
                <w:sz w:val="24"/>
                <w:szCs w:val="24"/>
              </w:rPr>
              <w:t>24</w:t>
            </w:r>
            <w:r w:rsidR="00EC15BE">
              <w:rPr>
                <w:rFonts w:ascii="Times New Roman" w:hAnsi="Times New Roman" w:cs="Times New Roman"/>
                <w:sz w:val="24"/>
                <w:szCs w:val="24"/>
              </w:rPr>
              <w:t xml:space="preserve"> </w:t>
            </w:r>
            <w:r>
              <w:rPr>
                <w:rFonts w:ascii="Times New Roman" w:hAnsi="Times New Roman" w:cs="Times New Roman"/>
                <w:sz w:val="24"/>
                <w:szCs w:val="24"/>
              </w:rPr>
              <w:t>Ocak</w:t>
            </w:r>
            <w:r w:rsidR="001B1348" w:rsidRPr="00BE37F7">
              <w:rPr>
                <w:rFonts w:ascii="Times New Roman" w:hAnsi="Times New Roman" w:cs="Times New Roman"/>
                <w:sz w:val="24"/>
                <w:szCs w:val="24"/>
              </w:rPr>
              <w:t xml:space="preserve"> 20</w:t>
            </w:r>
            <w:r w:rsidR="00EC15BE">
              <w:rPr>
                <w:rFonts w:ascii="Times New Roman" w:hAnsi="Times New Roman" w:cs="Times New Roman"/>
                <w:sz w:val="24"/>
                <w:szCs w:val="24"/>
              </w:rPr>
              <w:t>2</w:t>
            </w:r>
            <w:r>
              <w:rPr>
                <w:rFonts w:ascii="Times New Roman" w:hAnsi="Times New Roman" w:cs="Times New Roman"/>
                <w:sz w:val="24"/>
                <w:szCs w:val="24"/>
              </w:rPr>
              <w:t>2</w:t>
            </w:r>
          </w:p>
        </w:tc>
        <w:tc>
          <w:tcPr>
            <w:tcW w:w="5812" w:type="dxa"/>
          </w:tcPr>
          <w:p w14:paraId="785A8029" w14:textId="77777777" w:rsidR="001B1348" w:rsidRPr="00BE37F7" w:rsidRDefault="001B1348" w:rsidP="001B1348">
            <w:pPr>
              <w:jc w:val="center"/>
              <w:rPr>
                <w:rFonts w:ascii="Times New Roman" w:hAnsi="Times New Roman" w:cs="Times New Roman"/>
                <w:b/>
                <w:sz w:val="24"/>
                <w:szCs w:val="24"/>
              </w:rPr>
            </w:pPr>
          </w:p>
          <w:p w14:paraId="42F39AD5" w14:textId="77777777" w:rsidR="001B1348" w:rsidRPr="00BE37F7" w:rsidRDefault="001B1348" w:rsidP="001B1348">
            <w:pPr>
              <w:jc w:val="center"/>
              <w:rPr>
                <w:rFonts w:ascii="Times New Roman" w:hAnsi="Times New Roman" w:cs="Times New Roman"/>
                <w:b/>
                <w:sz w:val="24"/>
                <w:szCs w:val="24"/>
              </w:rPr>
            </w:pPr>
            <w:r w:rsidRPr="00BE37F7">
              <w:rPr>
                <w:rFonts w:ascii="Times New Roman" w:hAnsi="Times New Roman" w:cs="Times New Roman"/>
                <w:b/>
                <w:sz w:val="24"/>
                <w:szCs w:val="24"/>
              </w:rPr>
              <w:t>YATIRIM VE YÖNETİME İLİŞKİN BİLGİLER</w:t>
            </w:r>
          </w:p>
        </w:tc>
      </w:tr>
      <w:tr w:rsidR="001B1348" w:rsidRPr="00BE37F7" w14:paraId="52D08609" w14:textId="77777777" w:rsidTr="0089387A">
        <w:trPr>
          <w:trHeight w:val="272"/>
        </w:trPr>
        <w:tc>
          <w:tcPr>
            <w:tcW w:w="3510" w:type="dxa"/>
            <w:gridSpan w:val="2"/>
          </w:tcPr>
          <w:p w14:paraId="6F02B738" w14:textId="547C48D1" w:rsidR="001B1348" w:rsidRPr="00BE37F7" w:rsidRDefault="00C304C7" w:rsidP="007D75CD">
            <w:pPr>
              <w:jc w:val="center"/>
              <w:rPr>
                <w:rFonts w:ascii="Times New Roman" w:hAnsi="Times New Roman" w:cs="Times New Roman"/>
                <w:b/>
                <w:sz w:val="24"/>
                <w:szCs w:val="24"/>
              </w:rPr>
            </w:pPr>
            <w:r w:rsidRPr="00C304C7">
              <w:rPr>
                <w:rFonts w:ascii="Times New Roman" w:hAnsi="Times New Roman" w:cs="Times New Roman"/>
                <w:b/>
                <w:sz w:val="24"/>
                <w:szCs w:val="24"/>
              </w:rPr>
              <w:t>30 Haziran 2024 itibariyle</w:t>
            </w:r>
          </w:p>
        </w:tc>
        <w:tc>
          <w:tcPr>
            <w:tcW w:w="5812" w:type="dxa"/>
          </w:tcPr>
          <w:p w14:paraId="563BE517" w14:textId="77777777" w:rsidR="001B1348" w:rsidRPr="00BE37F7" w:rsidRDefault="001B1348" w:rsidP="001B1348">
            <w:pPr>
              <w:jc w:val="center"/>
              <w:rPr>
                <w:rFonts w:ascii="Times New Roman" w:hAnsi="Times New Roman" w:cs="Times New Roman"/>
                <w:b/>
                <w:sz w:val="24"/>
                <w:szCs w:val="24"/>
              </w:rPr>
            </w:pPr>
            <w:r w:rsidRPr="00BE37F7">
              <w:rPr>
                <w:rFonts w:ascii="Times New Roman" w:hAnsi="Times New Roman" w:cs="Times New Roman"/>
                <w:b/>
                <w:sz w:val="24"/>
                <w:szCs w:val="24"/>
              </w:rPr>
              <w:t>Portföy Yöneticileri</w:t>
            </w:r>
          </w:p>
        </w:tc>
      </w:tr>
      <w:tr w:rsidR="001B1348" w:rsidRPr="00BE37F7" w14:paraId="1C4CE836" w14:textId="77777777" w:rsidTr="0089387A">
        <w:trPr>
          <w:trHeight w:val="546"/>
        </w:trPr>
        <w:tc>
          <w:tcPr>
            <w:tcW w:w="1823" w:type="dxa"/>
          </w:tcPr>
          <w:p w14:paraId="24B2E994" w14:textId="77777777" w:rsidR="001B1348" w:rsidRPr="00BE37F7" w:rsidRDefault="001B1348" w:rsidP="00A05B08">
            <w:pPr>
              <w:rPr>
                <w:rFonts w:ascii="Times New Roman" w:hAnsi="Times New Roman" w:cs="Times New Roman"/>
                <w:sz w:val="24"/>
                <w:szCs w:val="24"/>
              </w:rPr>
            </w:pPr>
            <w:r w:rsidRPr="00BE37F7">
              <w:rPr>
                <w:rFonts w:ascii="Times New Roman" w:hAnsi="Times New Roman" w:cs="Times New Roman"/>
                <w:sz w:val="24"/>
                <w:szCs w:val="24"/>
              </w:rPr>
              <w:t>Fon Toplam Değeri</w:t>
            </w:r>
          </w:p>
        </w:tc>
        <w:tc>
          <w:tcPr>
            <w:tcW w:w="1687" w:type="dxa"/>
          </w:tcPr>
          <w:p w14:paraId="7EB7923A" w14:textId="63089DC1" w:rsidR="001B1348" w:rsidRPr="00BE37F7" w:rsidRDefault="003C1B72" w:rsidP="00236423">
            <w:pPr>
              <w:jc w:val="right"/>
              <w:rPr>
                <w:rFonts w:ascii="Times New Roman" w:hAnsi="Times New Roman" w:cs="Times New Roman"/>
                <w:sz w:val="24"/>
                <w:szCs w:val="24"/>
              </w:rPr>
            </w:pPr>
            <w:r w:rsidRPr="003C1B72">
              <w:rPr>
                <w:rFonts w:ascii="Times New Roman" w:hAnsi="Times New Roman" w:cs="Times New Roman"/>
                <w:sz w:val="24"/>
                <w:szCs w:val="24"/>
              </w:rPr>
              <w:t>139.446.413,44</w:t>
            </w:r>
            <w:r w:rsidR="006B1228" w:rsidRPr="006B1228">
              <w:rPr>
                <w:rFonts w:ascii="Times New Roman" w:hAnsi="Times New Roman" w:cs="Times New Roman"/>
                <w:sz w:val="24"/>
                <w:szCs w:val="24"/>
              </w:rPr>
              <w:tab/>
            </w:r>
          </w:p>
        </w:tc>
        <w:tc>
          <w:tcPr>
            <w:tcW w:w="5812" w:type="dxa"/>
          </w:tcPr>
          <w:p w14:paraId="74B65ACA" w14:textId="60578B36" w:rsidR="001B1348" w:rsidRDefault="00327958" w:rsidP="00CF029B">
            <w:pPr>
              <w:rPr>
                <w:rFonts w:ascii="Times New Roman" w:hAnsi="Times New Roman" w:cs="Times New Roman"/>
                <w:sz w:val="24"/>
                <w:szCs w:val="24"/>
              </w:rPr>
            </w:pPr>
            <w:r>
              <w:rPr>
                <w:rFonts w:ascii="Times New Roman" w:hAnsi="Times New Roman" w:cs="Times New Roman"/>
                <w:sz w:val="24"/>
                <w:szCs w:val="24"/>
              </w:rPr>
              <w:t>Niyazi Atasoy</w:t>
            </w:r>
          </w:p>
          <w:p w14:paraId="6371B580" w14:textId="57287614" w:rsidR="00EC15BE" w:rsidRPr="00BE37F7" w:rsidRDefault="00327958" w:rsidP="00CF029B">
            <w:pPr>
              <w:rPr>
                <w:rFonts w:ascii="Times New Roman" w:hAnsi="Times New Roman" w:cs="Times New Roman"/>
                <w:sz w:val="24"/>
                <w:szCs w:val="24"/>
              </w:rPr>
            </w:pPr>
            <w:r>
              <w:rPr>
                <w:rFonts w:ascii="Times New Roman" w:hAnsi="Times New Roman" w:cs="Times New Roman"/>
                <w:sz w:val="24"/>
                <w:szCs w:val="24"/>
              </w:rPr>
              <w:t>Anıl Tokat</w:t>
            </w:r>
          </w:p>
        </w:tc>
      </w:tr>
      <w:tr w:rsidR="001B1348" w:rsidRPr="00BE37F7" w14:paraId="49414BC0" w14:textId="77777777" w:rsidTr="0089387A">
        <w:trPr>
          <w:trHeight w:val="546"/>
        </w:trPr>
        <w:tc>
          <w:tcPr>
            <w:tcW w:w="1823" w:type="dxa"/>
          </w:tcPr>
          <w:p w14:paraId="4D752AFF" w14:textId="77777777" w:rsidR="001B1348" w:rsidRPr="00BE37F7" w:rsidRDefault="001B1348" w:rsidP="00A05B08">
            <w:pPr>
              <w:rPr>
                <w:rFonts w:ascii="Times New Roman" w:hAnsi="Times New Roman" w:cs="Times New Roman"/>
                <w:sz w:val="24"/>
                <w:szCs w:val="24"/>
              </w:rPr>
            </w:pPr>
            <w:r w:rsidRPr="00BE37F7">
              <w:rPr>
                <w:rFonts w:ascii="Times New Roman" w:hAnsi="Times New Roman" w:cs="Times New Roman"/>
                <w:sz w:val="24"/>
                <w:szCs w:val="24"/>
              </w:rPr>
              <w:t>Birim Pay Değeri</w:t>
            </w:r>
          </w:p>
        </w:tc>
        <w:tc>
          <w:tcPr>
            <w:tcW w:w="1687" w:type="dxa"/>
          </w:tcPr>
          <w:p w14:paraId="22FF4823" w14:textId="5CA11163" w:rsidR="00237C1F" w:rsidRPr="00BE37F7" w:rsidRDefault="003C1B72" w:rsidP="00236423">
            <w:pPr>
              <w:jc w:val="right"/>
              <w:rPr>
                <w:rFonts w:ascii="Times New Roman" w:hAnsi="Times New Roman" w:cs="Times New Roman"/>
                <w:sz w:val="24"/>
                <w:szCs w:val="24"/>
              </w:rPr>
            </w:pPr>
            <w:r w:rsidRPr="003C1B72">
              <w:rPr>
                <w:rFonts w:ascii="Times New Roman" w:hAnsi="Times New Roman" w:cs="Times New Roman"/>
                <w:sz w:val="24"/>
                <w:szCs w:val="24"/>
              </w:rPr>
              <w:t>2,465992</w:t>
            </w:r>
          </w:p>
        </w:tc>
        <w:tc>
          <w:tcPr>
            <w:tcW w:w="5812" w:type="dxa"/>
          </w:tcPr>
          <w:p w14:paraId="367F35D7" w14:textId="77777777" w:rsidR="001B1348" w:rsidRPr="00BE37F7" w:rsidRDefault="003D66F7" w:rsidP="003D66F7">
            <w:pPr>
              <w:jc w:val="center"/>
              <w:rPr>
                <w:rFonts w:ascii="Times New Roman" w:hAnsi="Times New Roman" w:cs="Times New Roman"/>
                <w:b/>
                <w:sz w:val="24"/>
                <w:szCs w:val="24"/>
              </w:rPr>
            </w:pPr>
            <w:r w:rsidRPr="00BE37F7">
              <w:rPr>
                <w:rFonts w:ascii="Times New Roman" w:hAnsi="Times New Roman" w:cs="Times New Roman"/>
                <w:b/>
                <w:sz w:val="24"/>
                <w:szCs w:val="24"/>
              </w:rPr>
              <w:t>Fon’un Yatırım Amacı ve Stratejisi</w:t>
            </w:r>
          </w:p>
        </w:tc>
      </w:tr>
      <w:tr w:rsidR="00E50129" w:rsidRPr="00BE37F7" w14:paraId="41F7A0D8" w14:textId="77777777" w:rsidTr="0089387A">
        <w:trPr>
          <w:trHeight w:val="272"/>
        </w:trPr>
        <w:tc>
          <w:tcPr>
            <w:tcW w:w="1823" w:type="dxa"/>
          </w:tcPr>
          <w:p w14:paraId="6903EC00" w14:textId="77777777" w:rsidR="00E50129" w:rsidRPr="00BE37F7" w:rsidRDefault="00E50129" w:rsidP="00A05B08">
            <w:pPr>
              <w:rPr>
                <w:rFonts w:ascii="Times New Roman" w:hAnsi="Times New Roman" w:cs="Times New Roman"/>
                <w:sz w:val="24"/>
                <w:szCs w:val="24"/>
              </w:rPr>
            </w:pPr>
            <w:r w:rsidRPr="00BE37F7">
              <w:rPr>
                <w:rFonts w:ascii="Times New Roman" w:hAnsi="Times New Roman" w:cs="Times New Roman"/>
                <w:sz w:val="24"/>
                <w:szCs w:val="24"/>
              </w:rPr>
              <w:t>Yatırımcı Sayısı</w:t>
            </w:r>
          </w:p>
        </w:tc>
        <w:tc>
          <w:tcPr>
            <w:tcW w:w="1687" w:type="dxa"/>
          </w:tcPr>
          <w:p w14:paraId="5681A160" w14:textId="70F70DE4" w:rsidR="00E50129" w:rsidRPr="00BE37F7" w:rsidRDefault="00733DF3" w:rsidP="003B245E">
            <w:pPr>
              <w:jc w:val="right"/>
              <w:rPr>
                <w:rFonts w:ascii="Times New Roman" w:hAnsi="Times New Roman" w:cs="Times New Roman"/>
                <w:sz w:val="24"/>
                <w:szCs w:val="24"/>
              </w:rPr>
            </w:pPr>
            <w:r>
              <w:rPr>
                <w:rFonts w:ascii="Times New Roman" w:hAnsi="Times New Roman" w:cs="Times New Roman"/>
                <w:sz w:val="24"/>
                <w:szCs w:val="24"/>
              </w:rPr>
              <w:t>2</w:t>
            </w:r>
            <w:r w:rsidR="003C1B72">
              <w:rPr>
                <w:rFonts w:ascii="Times New Roman" w:hAnsi="Times New Roman" w:cs="Times New Roman"/>
                <w:sz w:val="24"/>
                <w:szCs w:val="24"/>
              </w:rPr>
              <w:t>4</w:t>
            </w:r>
          </w:p>
        </w:tc>
        <w:tc>
          <w:tcPr>
            <w:tcW w:w="5812" w:type="dxa"/>
            <w:vMerge w:val="restart"/>
          </w:tcPr>
          <w:p w14:paraId="4618D6DC" w14:textId="6CD247F8" w:rsidR="00E50129" w:rsidRPr="00516D29" w:rsidRDefault="00516D29" w:rsidP="00501A4F">
            <w:pPr>
              <w:jc w:val="both"/>
              <w:rPr>
                <w:rFonts w:ascii="Times New Roman" w:hAnsi="Times New Roman" w:cs="Times New Roman"/>
                <w:sz w:val="24"/>
                <w:szCs w:val="24"/>
              </w:rPr>
            </w:pPr>
            <w:r w:rsidRPr="00516D29">
              <w:rPr>
                <w:rFonts w:ascii="Times New Roman" w:hAnsi="Times New Roman" w:cs="Times New Roman"/>
              </w:rPr>
              <w:t>Fon portföyünün yönetiminde ve yatırım yapılacak sermaye piyasası araçlarının seçiminde, Tebliğ’in 4. maddesinde belirtilen varlık ve işlemlerden, yabancı para birimi cinsinden varlık ve altın ile diğer kıymetli madenler ve bunlara dayalı sermaye piyasası araçları dışındakiler ile 6. maddesinde tanımlanan fon türlerinden serbest şemsiye fon niteliğine uygun bir portföy oluşturulması esas alınır. Fon, Tebliğ’in 25. maddesinde yer alan serbest fonlara dair esaslara uyulur.</w:t>
            </w:r>
          </w:p>
        </w:tc>
      </w:tr>
      <w:tr w:rsidR="00E50129" w:rsidRPr="00BE37F7" w14:paraId="1F67F208" w14:textId="77777777" w:rsidTr="0089387A">
        <w:trPr>
          <w:trHeight w:val="546"/>
        </w:trPr>
        <w:tc>
          <w:tcPr>
            <w:tcW w:w="1823" w:type="dxa"/>
          </w:tcPr>
          <w:p w14:paraId="53E26006" w14:textId="77777777" w:rsidR="00E50129" w:rsidRPr="00BE37F7" w:rsidRDefault="00E50129" w:rsidP="00A05B08">
            <w:pPr>
              <w:rPr>
                <w:rFonts w:ascii="Times New Roman" w:hAnsi="Times New Roman" w:cs="Times New Roman"/>
                <w:sz w:val="24"/>
                <w:szCs w:val="24"/>
              </w:rPr>
            </w:pPr>
            <w:r w:rsidRPr="00BE37F7">
              <w:rPr>
                <w:rFonts w:ascii="Times New Roman" w:hAnsi="Times New Roman" w:cs="Times New Roman"/>
                <w:sz w:val="24"/>
                <w:szCs w:val="24"/>
              </w:rPr>
              <w:t>Tedavül Oranı (%)</w:t>
            </w:r>
          </w:p>
        </w:tc>
        <w:tc>
          <w:tcPr>
            <w:tcW w:w="1687" w:type="dxa"/>
          </w:tcPr>
          <w:p w14:paraId="2E8AB30D" w14:textId="09C21AA1" w:rsidR="00E50129" w:rsidRPr="00BE37F7" w:rsidRDefault="00F2098B" w:rsidP="00236423">
            <w:pPr>
              <w:jc w:val="right"/>
              <w:rPr>
                <w:rFonts w:ascii="Times New Roman" w:hAnsi="Times New Roman" w:cs="Times New Roman"/>
                <w:sz w:val="24"/>
                <w:szCs w:val="24"/>
              </w:rPr>
            </w:pPr>
            <w:r>
              <w:rPr>
                <w:rFonts w:ascii="Times New Roman" w:hAnsi="Times New Roman" w:cs="Times New Roman"/>
                <w:sz w:val="24"/>
                <w:szCs w:val="24"/>
              </w:rPr>
              <w:t>11,31</w:t>
            </w:r>
          </w:p>
        </w:tc>
        <w:tc>
          <w:tcPr>
            <w:tcW w:w="5812" w:type="dxa"/>
            <w:vMerge/>
          </w:tcPr>
          <w:p w14:paraId="1A03D0A4" w14:textId="77777777" w:rsidR="00E50129" w:rsidRPr="00BE37F7" w:rsidRDefault="00E50129" w:rsidP="00E50129">
            <w:pPr>
              <w:jc w:val="both"/>
              <w:rPr>
                <w:rFonts w:ascii="Times New Roman" w:hAnsi="Times New Roman" w:cs="Times New Roman"/>
                <w:sz w:val="24"/>
                <w:szCs w:val="24"/>
              </w:rPr>
            </w:pPr>
          </w:p>
        </w:tc>
      </w:tr>
      <w:tr w:rsidR="00E50129" w:rsidRPr="00BE37F7" w14:paraId="1F1227F2" w14:textId="77777777" w:rsidTr="0089387A">
        <w:trPr>
          <w:trHeight w:val="272"/>
        </w:trPr>
        <w:tc>
          <w:tcPr>
            <w:tcW w:w="3510" w:type="dxa"/>
            <w:gridSpan w:val="2"/>
          </w:tcPr>
          <w:p w14:paraId="71BCD733" w14:textId="77777777" w:rsidR="00E50129" w:rsidRPr="00BE37F7" w:rsidRDefault="00E50129" w:rsidP="003D66F7">
            <w:pPr>
              <w:jc w:val="center"/>
              <w:rPr>
                <w:rFonts w:ascii="Times New Roman" w:hAnsi="Times New Roman" w:cs="Times New Roman"/>
                <w:b/>
                <w:sz w:val="24"/>
                <w:szCs w:val="24"/>
              </w:rPr>
            </w:pPr>
            <w:r w:rsidRPr="00BE37F7">
              <w:rPr>
                <w:rFonts w:ascii="Times New Roman" w:hAnsi="Times New Roman" w:cs="Times New Roman"/>
                <w:b/>
                <w:sz w:val="24"/>
                <w:szCs w:val="24"/>
              </w:rPr>
              <w:t>Portföy Dağılımı (%)</w:t>
            </w:r>
          </w:p>
        </w:tc>
        <w:tc>
          <w:tcPr>
            <w:tcW w:w="5812" w:type="dxa"/>
            <w:vMerge/>
          </w:tcPr>
          <w:p w14:paraId="7498A580" w14:textId="77777777" w:rsidR="00E50129" w:rsidRPr="00BE37F7" w:rsidRDefault="00E50129" w:rsidP="00E50129">
            <w:pPr>
              <w:jc w:val="both"/>
              <w:rPr>
                <w:rFonts w:ascii="Times New Roman" w:hAnsi="Times New Roman" w:cs="Times New Roman"/>
                <w:sz w:val="24"/>
                <w:szCs w:val="24"/>
              </w:rPr>
            </w:pPr>
          </w:p>
        </w:tc>
      </w:tr>
      <w:tr w:rsidR="00F70D62" w:rsidRPr="00BE37F7" w14:paraId="55CA7771" w14:textId="77777777" w:rsidTr="0089387A">
        <w:trPr>
          <w:trHeight w:val="261"/>
        </w:trPr>
        <w:tc>
          <w:tcPr>
            <w:tcW w:w="1823" w:type="dxa"/>
          </w:tcPr>
          <w:p w14:paraId="16933FEA" w14:textId="7B69F2A1" w:rsidR="00F70D62" w:rsidRPr="00BE37F7" w:rsidRDefault="00967902" w:rsidP="00A05B08">
            <w:pPr>
              <w:rPr>
                <w:rFonts w:ascii="Times New Roman" w:hAnsi="Times New Roman" w:cs="Times New Roman"/>
                <w:sz w:val="24"/>
                <w:szCs w:val="24"/>
              </w:rPr>
            </w:pPr>
            <w:r>
              <w:rPr>
                <w:rFonts w:ascii="Times New Roman" w:hAnsi="Times New Roman" w:cs="Times New Roman"/>
                <w:sz w:val="24"/>
                <w:szCs w:val="24"/>
              </w:rPr>
              <w:t>Borçlanma Araçları</w:t>
            </w:r>
          </w:p>
        </w:tc>
        <w:tc>
          <w:tcPr>
            <w:tcW w:w="1687" w:type="dxa"/>
          </w:tcPr>
          <w:p w14:paraId="2A07B50C" w14:textId="6B3D2BD0" w:rsidR="00F70D62" w:rsidRPr="00BE37F7" w:rsidRDefault="0098463F" w:rsidP="0098463F">
            <w:pPr>
              <w:jc w:val="right"/>
              <w:rPr>
                <w:rFonts w:ascii="Times New Roman" w:hAnsi="Times New Roman" w:cs="Times New Roman"/>
                <w:sz w:val="24"/>
                <w:szCs w:val="24"/>
              </w:rPr>
            </w:pPr>
            <w:r>
              <w:rPr>
                <w:rFonts w:ascii="Times New Roman" w:hAnsi="Times New Roman" w:cs="Times New Roman"/>
                <w:sz w:val="24"/>
                <w:szCs w:val="24"/>
              </w:rPr>
              <w:t>272,07</w:t>
            </w:r>
          </w:p>
        </w:tc>
        <w:tc>
          <w:tcPr>
            <w:tcW w:w="5812" w:type="dxa"/>
            <w:vMerge/>
          </w:tcPr>
          <w:p w14:paraId="04B95A51" w14:textId="77777777" w:rsidR="00F70D62" w:rsidRPr="00BE37F7" w:rsidRDefault="00F70D62" w:rsidP="00A05B08">
            <w:pPr>
              <w:rPr>
                <w:rFonts w:ascii="Times New Roman" w:hAnsi="Times New Roman" w:cs="Times New Roman"/>
                <w:sz w:val="24"/>
                <w:szCs w:val="24"/>
              </w:rPr>
            </w:pPr>
          </w:p>
        </w:tc>
      </w:tr>
      <w:tr w:rsidR="00F70D62" w:rsidRPr="00BE37F7" w14:paraId="57BEFF50" w14:textId="77777777" w:rsidTr="0089387A">
        <w:trPr>
          <w:trHeight w:val="546"/>
        </w:trPr>
        <w:tc>
          <w:tcPr>
            <w:tcW w:w="1823" w:type="dxa"/>
          </w:tcPr>
          <w:p w14:paraId="535515B9" w14:textId="36FE6471" w:rsidR="00F70D62" w:rsidRPr="00BE37F7" w:rsidRDefault="0098463F" w:rsidP="00A05B08">
            <w:pPr>
              <w:rPr>
                <w:rFonts w:ascii="Times New Roman" w:hAnsi="Times New Roman" w:cs="Times New Roman"/>
                <w:sz w:val="24"/>
                <w:szCs w:val="24"/>
              </w:rPr>
            </w:pPr>
            <w:r>
              <w:rPr>
                <w:rFonts w:ascii="Times New Roman" w:hAnsi="Times New Roman" w:cs="Times New Roman"/>
                <w:sz w:val="24"/>
                <w:szCs w:val="24"/>
              </w:rPr>
              <w:t>Repo</w:t>
            </w:r>
          </w:p>
        </w:tc>
        <w:tc>
          <w:tcPr>
            <w:tcW w:w="1687" w:type="dxa"/>
          </w:tcPr>
          <w:p w14:paraId="022F34B9" w14:textId="7BE4834B" w:rsidR="00F70D62" w:rsidRPr="00BE37F7" w:rsidRDefault="0098463F" w:rsidP="0098463F">
            <w:pPr>
              <w:jc w:val="right"/>
              <w:rPr>
                <w:rFonts w:ascii="Times New Roman" w:hAnsi="Times New Roman" w:cs="Times New Roman"/>
                <w:sz w:val="24"/>
                <w:szCs w:val="24"/>
              </w:rPr>
            </w:pPr>
            <w:r>
              <w:rPr>
                <w:rFonts w:ascii="Times New Roman" w:hAnsi="Times New Roman" w:cs="Times New Roman"/>
                <w:sz w:val="24"/>
                <w:szCs w:val="24"/>
              </w:rPr>
              <w:t>-304,04</w:t>
            </w:r>
          </w:p>
        </w:tc>
        <w:tc>
          <w:tcPr>
            <w:tcW w:w="5812" w:type="dxa"/>
            <w:vMerge/>
          </w:tcPr>
          <w:p w14:paraId="680660DD" w14:textId="77777777" w:rsidR="00F70D62" w:rsidRPr="00BE37F7" w:rsidRDefault="00F70D62" w:rsidP="00A05B08">
            <w:pPr>
              <w:rPr>
                <w:rFonts w:ascii="Times New Roman" w:hAnsi="Times New Roman" w:cs="Times New Roman"/>
                <w:sz w:val="24"/>
                <w:szCs w:val="24"/>
              </w:rPr>
            </w:pPr>
          </w:p>
        </w:tc>
      </w:tr>
      <w:tr w:rsidR="00F70D62" w:rsidRPr="00BE37F7" w14:paraId="1F33CD0F" w14:textId="77777777" w:rsidTr="0089387A">
        <w:trPr>
          <w:trHeight w:val="272"/>
        </w:trPr>
        <w:tc>
          <w:tcPr>
            <w:tcW w:w="1823" w:type="dxa"/>
            <w:tcBorders>
              <w:bottom w:val="single" w:sz="4" w:space="0" w:color="auto"/>
            </w:tcBorders>
          </w:tcPr>
          <w:p w14:paraId="555588A9" w14:textId="42F88562" w:rsidR="00F70D62" w:rsidRPr="00BE37F7" w:rsidRDefault="0098463F" w:rsidP="00AF3A9D">
            <w:pPr>
              <w:rPr>
                <w:rFonts w:ascii="Times New Roman" w:hAnsi="Times New Roman" w:cs="Times New Roman"/>
                <w:sz w:val="24"/>
                <w:szCs w:val="24"/>
              </w:rPr>
            </w:pPr>
            <w:r>
              <w:rPr>
                <w:rFonts w:ascii="Times New Roman" w:hAnsi="Times New Roman" w:cs="Times New Roman"/>
                <w:sz w:val="24"/>
                <w:szCs w:val="24"/>
              </w:rPr>
              <w:t>Diğer</w:t>
            </w:r>
          </w:p>
        </w:tc>
        <w:tc>
          <w:tcPr>
            <w:tcW w:w="1687" w:type="dxa"/>
            <w:tcBorders>
              <w:bottom w:val="single" w:sz="4" w:space="0" w:color="auto"/>
            </w:tcBorders>
          </w:tcPr>
          <w:p w14:paraId="4D68AB1D" w14:textId="62A5DCD4" w:rsidR="00F70D62" w:rsidRPr="00BE37F7" w:rsidRDefault="0098463F" w:rsidP="0098463F">
            <w:pPr>
              <w:jc w:val="right"/>
              <w:rPr>
                <w:rFonts w:ascii="Times New Roman" w:hAnsi="Times New Roman" w:cs="Times New Roman"/>
                <w:sz w:val="24"/>
                <w:szCs w:val="24"/>
              </w:rPr>
            </w:pPr>
            <w:r>
              <w:rPr>
                <w:rFonts w:ascii="Times New Roman" w:hAnsi="Times New Roman" w:cs="Times New Roman"/>
                <w:sz w:val="24"/>
                <w:szCs w:val="24"/>
              </w:rPr>
              <w:t>131,95</w:t>
            </w:r>
          </w:p>
        </w:tc>
        <w:tc>
          <w:tcPr>
            <w:tcW w:w="5812" w:type="dxa"/>
            <w:vMerge/>
          </w:tcPr>
          <w:p w14:paraId="43794AB5" w14:textId="77777777" w:rsidR="00F70D62" w:rsidRPr="00BE37F7" w:rsidRDefault="00F70D62" w:rsidP="00AF3A9D">
            <w:pPr>
              <w:rPr>
                <w:rFonts w:ascii="Times New Roman" w:hAnsi="Times New Roman" w:cs="Times New Roman"/>
                <w:sz w:val="24"/>
                <w:szCs w:val="24"/>
              </w:rPr>
            </w:pPr>
          </w:p>
        </w:tc>
      </w:tr>
      <w:tr w:rsidR="001D1C71" w:rsidRPr="00BE37F7" w14:paraId="6403F3D8" w14:textId="77777777" w:rsidTr="0089387A">
        <w:trPr>
          <w:trHeight w:val="272"/>
        </w:trPr>
        <w:tc>
          <w:tcPr>
            <w:tcW w:w="1823" w:type="dxa"/>
            <w:tcBorders>
              <w:bottom w:val="single" w:sz="4" w:space="0" w:color="auto"/>
            </w:tcBorders>
          </w:tcPr>
          <w:p w14:paraId="044B1EBF" w14:textId="04AB80BE" w:rsidR="001D1C71" w:rsidRDefault="001D1C71" w:rsidP="00AF3A9D">
            <w:pPr>
              <w:rPr>
                <w:rFonts w:ascii="Times New Roman" w:hAnsi="Times New Roman" w:cs="Times New Roman"/>
                <w:sz w:val="24"/>
                <w:szCs w:val="24"/>
              </w:rPr>
            </w:pPr>
            <w:r>
              <w:rPr>
                <w:rFonts w:ascii="Times New Roman" w:hAnsi="Times New Roman" w:cs="Times New Roman"/>
                <w:sz w:val="24"/>
                <w:szCs w:val="24"/>
              </w:rPr>
              <w:t>Mevduat</w:t>
            </w:r>
          </w:p>
        </w:tc>
        <w:tc>
          <w:tcPr>
            <w:tcW w:w="1687" w:type="dxa"/>
            <w:tcBorders>
              <w:bottom w:val="single" w:sz="4" w:space="0" w:color="auto"/>
            </w:tcBorders>
          </w:tcPr>
          <w:p w14:paraId="50E73471" w14:textId="1674BA8C" w:rsidR="001D1C71" w:rsidRDefault="001D1C71" w:rsidP="0098463F">
            <w:pPr>
              <w:jc w:val="right"/>
              <w:rPr>
                <w:rFonts w:ascii="Times New Roman" w:hAnsi="Times New Roman" w:cs="Times New Roman"/>
                <w:sz w:val="24"/>
                <w:szCs w:val="24"/>
              </w:rPr>
            </w:pPr>
            <w:r>
              <w:rPr>
                <w:rFonts w:ascii="Times New Roman" w:hAnsi="Times New Roman" w:cs="Times New Roman"/>
                <w:sz w:val="24"/>
                <w:szCs w:val="24"/>
              </w:rPr>
              <w:t>0,02</w:t>
            </w:r>
          </w:p>
        </w:tc>
        <w:tc>
          <w:tcPr>
            <w:tcW w:w="5812" w:type="dxa"/>
            <w:vMerge/>
          </w:tcPr>
          <w:p w14:paraId="50D3AF96" w14:textId="77777777" w:rsidR="001D1C71" w:rsidRPr="00BE37F7" w:rsidRDefault="001D1C71" w:rsidP="00AF3A9D">
            <w:pPr>
              <w:rPr>
                <w:rFonts w:ascii="Times New Roman" w:hAnsi="Times New Roman" w:cs="Times New Roman"/>
                <w:sz w:val="24"/>
                <w:szCs w:val="24"/>
              </w:rPr>
            </w:pPr>
          </w:p>
        </w:tc>
      </w:tr>
      <w:tr w:rsidR="00E50129" w:rsidRPr="00BE37F7" w14:paraId="14327E3C" w14:textId="77777777" w:rsidTr="0089387A">
        <w:trPr>
          <w:trHeight w:val="272"/>
        </w:trPr>
        <w:tc>
          <w:tcPr>
            <w:tcW w:w="3510" w:type="dxa"/>
            <w:gridSpan w:val="2"/>
            <w:tcBorders>
              <w:top w:val="single" w:sz="4" w:space="0" w:color="auto"/>
              <w:left w:val="single" w:sz="4" w:space="0" w:color="auto"/>
              <w:bottom w:val="nil"/>
              <w:right w:val="single" w:sz="4" w:space="0" w:color="auto"/>
            </w:tcBorders>
          </w:tcPr>
          <w:p w14:paraId="214E80FB" w14:textId="77777777" w:rsidR="00E50129" w:rsidRPr="00BE37F7" w:rsidRDefault="00E50129" w:rsidP="00A05B08">
            <w:pPr>
              <w:rPr>
                <w:rFonts w:ascii="Times New Roman" w:hAnsi="Times New Roman" w:cs="Times New Roman"/>
                <w:b/>
                <w:sz w:val="24"/>
                <w:szCs w:val="24"/>
              </w:rPr>
            </w:pPr>
          </w:p>
        </w:tc>
        <w:tc>
          <w:tcPr>
            <w:tcW w:w="5812" w:type="dxa"/>
            <w:vMerge/>
            <w:tcBorders>
              <w:left w:val="single" w:sz="4" w:space="0" w:color="auto"/>
            </w:tcBorders>
          </w:tcPr>
          <w:p w14:paraId="5BB6F06D" w14:textId="77777777" w:rsidR="00E50129" w:rsidRPr="00BE37F7" w:rsidRDefault="00E50129" w:rsidP="00A05B08">
            <w:pPr>
              <w:rPr>
                <w:rFonts w:ascii="Times New Roman" w:hAnsi="Times New Roman" w:cs="Times New Roman"/>
                <w:sz w:val="24"/>
                <w:szCs w:val="24"/>
              </w:rPr>
            </w:pPr>
          </w:p>
        </w:tc>
      </w:tr>
      <w:tr w:rsidR="00E50129" w:rsidRPr="00BE37F7" w14:paraId="2C140DCB" w14:textId="77777777" w:rsidTr="0089387A">
        <w:trPr>
          <w:trHeight w:val="484"/>
        </w:trPr>
        <w:tc>
          <w:tcPr>
            <w:tcW w:w="1823" w:type="dxa"/>
            <w:tcBorders>
              <w:top w:val="nil"/>
              <w:left w:val="single" w:sz="4" w:space="0" w:color="auto"/>
              <w:bottom w:val="single" w:sz="4" w:space="0" w:color="auto"/>
              <w:right w:val="nil"/>
            </w:tcBorders>
          </w:tcPr>
          <w:p w14:paraId="576813CE" w14:textId="6770551B" w:rsidR="0023421B" w:rsidRDefault="0023421B" w:rsidP="0023421B">
            <w:pPr>
              <w:rPr>
                <w:rFonts w:ascii="SansSerif" w:hAnsi="SansSerif" w:cs="Calibri"/>
                <w:b/>
                <w:bCs/>
                <w:color w:val="000000"/>
                <w:sz w:val="20"/>
                <w:szCs w:val="20"/>
                <w:u w:val="single"/>
              </w:rPr>
            </w:pPr>
          </w:p>
          <w:p w14:paraId="70218834" w14:textId="1FEED5C2" w:rsidR="00E50129" w:rsidRPr="00BE37F7" w:rsidRDefault="00E50129" w:rsidP="0023421B">
            <w:pPr>
              <w:rPr>
                <w:rFonts w:ascii="Times New Roman" w:hAnsi="Times New Roman" w:cs="Times New Roman"/>
                <w:sz w:val="24"/>
                <w:szCs w:val="24"/>
              </w:rPr>
            </w:pPr>
          </w:p>
        </w:tc>
        <w:tc>
          <w:tcPr>
            <w:tcW w:w="1687" w:type="dxa"/>
            <w:tcBorders>
              <w:top w:val="nil"/>
              <w:left w:val="nil"/>
              <w:bottom w:val="single" w:sz="4" w:space="0" w:color="auto"/>
              <w:right w:val="single" w:sz="4" w:space="0" w:color="auto"/>
            </w:tcBorders>
          </w:tcPr>
          <w:p w14:paraId="51732CE0" w14:textId="77777777" w:rsidR="00E50129" w:rsidRPr="00BE37F7" w:rsidRDefault="00E50129" w:rsidP="00E50129">
            <w:pPr>
              <w:jc w:val="right"/>
              <w:rPr>
                <w:rFonts w:ascii="Times New Roman" w:hAnsi="Times New Roman" w:cs="Times New Roman"/>
                <w:sz w:val="24"/>
                <w:szCs w:val="24"/>
              </w:rPr>
            </w:pPr>
          </w:p>
        </w:tc>
        <w:tc>
          <w:tcPr>
            <w:tcW w:w="5812" w:type="dxa"/>
            <w:vMerge/>
            <w:tcBorders>
              <w:left w:val="single" w:sz="4" w:space="0" w:color="auto"/>
            </w:tcBorders>
          </w:tcPr>
          <w:p w14:paraId="4A8D5C20" w14:textId="77777777" w:rsidR="00E50129" w:rsidRPr="00BE37F7" w:rsidRDefault="00E50129" w:rsidP="00A05B08">
            <w:pPr>
              <w:rPr>
                <w:rFonts w:ascii="Times New Roman" w:hAnsi="Times New Roman" w:cs="Times New Roman"/>
                <w:sz w:val="24"/>
                <w:szCs w:val="24"/>
              </w:rPr>
            </w:pPr>
          </w:p>
        </w:tc>
      </w:tr>
      <w:tr w:rsidR="00D52CC0" w:rsidRPr="00BE37F7" w14:paraId="01C9D9AB" w14:textId="77777777" w:rsidTr="0089387A">
        <w:trPr>
          <w:trHeight w:val="272"/>
        </w:trPr>
        <w:tc>
          <w:tcPr>
            <w:tcW w:w="9322" w:type="dxa"/>
            <w:gridSpan w:val="3"/>
          </w:tcPr>
          <w:p w14:paraId="1861FA3E" w14:textId="1CC6D1C6" w:rsidR="00D52CC0" w:rsidRPr="00BE37F7" w:rsidRDefault="00D52CC0" w:rsidP="00D52CC0">
            <w:pPr>
              <w:jc w:val="center"/>
              <w:rPr>
                <w:rFonts w:ascii="Times New Roman" w:hAnsi="Times New Roman" w:cs="Times New Roman"/>
                <w:sz w:val="24"/>
                <w:szCs w:val="24"/>
              </w:rPr>
            </w:pPr>
            <w:r w:rsidRPr="00BE37F7">
              <w:rPr>
                <w:rFonts w:ascii="Times New Roman" w:hAnsi="Times New Roman" w:cs="Times New Roman"/>
                <w:sz w:val="24"/>
                <w:szCs w:val="24"/>
              </w:rPr>
              <w:t xml:space="preserve">En Az Alınabilir Pay </w:t>
            </w:r>
            <w:r w:rsidR="00A17399" w:rsidRPr="00BE37F7">
              <w:rPr>
                <w:rFonts w:ascii="Times New Roman" w:hAnsi="Times New Roman" w:cs="Times New Roman"/>
                <w:sz w:val="24"/>
                <w:szCs w:val="24"/>
              </w:rPr>
              <w:t>Adedi:</w:t>
            </w:r>
            <w:r w:rsidRPr="00BE37F7">
              <w:rPr>
                <w:rFonts w:ascii="Times New Roman" w:hAnsi="Times New Roman" w:cs="Times New Roman"/>
                <w:sz w:val="24"/>
                <w:szCs w:val="24"/>
              </w:rPr>
              <w:t xml:space="preserve"> 1 Adet</w:t>
            </w:r>
          </w:p>
        </w:tc>
      </w:tr>
    </w:tbl>
    <w:p w14:paraId="37B030FD" w14:textId="77777777" w:rsidR="00621CF3" w:rsidRDefault="00621CF3" w:rsidP="00A05B08">
      <w:pPr>
        <w:spacing w:after="0"/>
        <w:rPr>
          <w:rFonts w:ascii="Times New Roman" w:hAnsi="Times New Roman" w:cs="Times New Roman"/>
          <w:sz w:val="24"/>
          <w:szCs w:val="24"/>
        </w:rPr>
      </w:pPr>
    </w:p>
    <w:p w14:paraId="7D5438C5" w14:textId="77777777" w:rsidR="00621CF3" w:rsidRDefault="00621CF3" w:rsidP="00CE6762">
      <w:pPr>
        <w:spacing w:after="0"/>
        <w:rPr>
          <w:rFonts w:ascii="Times New Roman" w:hAnsi="Times New Roman" w:cs="Times New Roman"/>
          <w:sz w:val="24"/>
          <w:szCs w:val="24"/>
        </w:rPr>
      </w:pPr>
    </w:p>
    <w:p w14:paraId="2312CCC3" w14:textId="77777777" w:rsidR="00106889" w:rsidRDefault="00106889" w:rsidP="00621CF3">
      <w:pPr>
        <w:spacing w:after="0"/>
        <w:jc w:val="center"/>
        <w:rPr>
          <w:rFonts w:ascii="Times New Roman" w:hAnsi="Times New Roman" w:cs="Times New Roman"/>
          <w:sz w:val="24"/>
          <w:szCs w:val="24"/>
        </w:rPr>
      </w:pPr>
    </w:p>
    <w:p w14:paraId="23461D99" w14:textId="77777777" w:rsidR="00973E09" w:rsidRPr="002E685D" w:rsidRDefault="00973E09" w:rsidP="00973E09">
      <w:pPr>
        <w:pStyle w:val="ListeParagraf"/>
        <w:numPr>
          <w:ilvl w:val="0"/>
          <w:numId w:val="1"/>
        </w:numPr>
        <w:rPr>
          <w:rFonts w:ascii="Times New Roman" w:hAnsi="Times New Roman" w:cs="Times New Roman"/>
          <w:b/>
          <w:sz w:val="24"/>
          <w:szCs w:val="24"/>
        </w:rPr>
      </w:pPr>
      <w:r w:rsidRPr="002E685D">
        <w:rPr>
          <w:rFonts w:ascii="Times New Roman" w:hAnsi="Times New Roman" w:cs="Times New Roman"/>
          <w:b/>
          <w:sz w:val="24"/>
          <w:szCs w:val="24"/>
        </w:rPr>
        <w:t>PERFORMANS BİLGİSİ</w:t>
      </w:r>
    </w:p>
    <w:tbl>
      <w:tblPr>
        <w:tblW w:w="8893" w:type="dxa"/>
        <w:tblCellMar>
          <w:left w:w="70" w:type="dxa"/>
          <w:right w:w="70" w:type="dxa"/>
        </w:tblCellMar>
        <w:tblLook w:val="04A0" w:firstRow="1" w:lastRow="0" w:firstColumn="1" w:lastColumn="0" w:noHBand="0" w:noVBand="1"/>
      </w:tblPr>
      <w:tblGrid>
        <w:gridCol w:w="906"/>
        <w:gridCol w:w="799"/>
        <w:gridCol w:w="1609"/>
        <w:gridCol w:w="927"/>
        <w:gridCol w:w="1121"/>
        <w:gridCol w:w="1210"/>
        <w:gridCol w:w="781"/>
        <w:gridCol w:w="1540"/>
      </w:tblGrid>
      <w:tr w:rsidR="00711D47" w:rsidRPr="00711D47" w14:paraId="579E1895" w14:textId="77777777" w:rsidTr="00711D47">
        <w:trPr>
          <w:trHeight w:val="1131"/>
        </w:trPr>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253726" w14:textId="77777777" w:rsidR="00711D47" w:rsidRPr="00711D47" w:rsidRDefault="00711D47" w:rsidP="00711D47">
            <w:pPr>
              <w:spacing w:after="0" w:line="240" w:lineRule="auto"/>
              <w:jc w:val="center"/>
              <w:rPr>
                <w:rFonts w:ascii="Times New Roman" w:eastAsia="Times New Roman" w:hAnsi="Times New Roman" w:cs="Times New Roman"/>
                <w:b/>
                <w:bCs/>
                <w:color w:val="000000"/>
                <w:sz w:val="18"/>
                <w:szCs w:val="18"/>
                <w:lang w:eastAsia="tr-TR"/>
              </w:rPr>
            </w:pPr>
            <w:r w:rsidRPr="00711D47">
              <w:rPr>
                <w:rFonts w:ascii="Times New Roman" w:eastAsia="Times New Roman" w:hAnsi="Times New Roman" w:cs="Times New Roman"/>
                <w:b/>
                <w:bCs/>
                <w:color w:val="000000"/>
                <w:sz w:val="18"/>
                <w:szCs w:val="18"/>
                <w:lang w:eastAsia="tr-TR"/>
              </w:rPr>
              <w:t>Yıllar</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7FC15CFB" w14:textId="77777777" w:rsidR="00711D47" w:rsidRPr="00711D47" w:rsidRDefault="00711D47" w:rsidP="00711D47">
            <w:pPr>
              <w:spacing w:after="0" w:line="240" w:lineRule="auto"/>
              <w:jc w:val="center"/>
              <w:rPr>
                <w:rFonts w:ascii="Times New Roman" w:eastAsia="Times New Roman" w:hAnsi="Times New Roman" w:cs="Times New Roman"/>
                <w:b/>
                <w:bCs/>
                <w:color w:val="000000"/>
                <w:sz w:val="18"/>
                <w:szCs w:val="18"/>
                <w:lang w:eastAsia="tr-TR"/>
              </w:rPr>
            </w:pPr>
            <w:r w:rsidRPr="00711D47">
              <w:rPr>
                <w:rFonts w:ascii="Times New Roman" w:eastAsia="Times New Roman" w:hAnsi="Times New Roman" w:cs="Times New Roman"/>
                <w:b/>
                <w:bCs/>
                <w:color w:val="000000"/>
                <w:sz w:val="18"/>
                <w:szCs w:val="18"/>
                <w:lang w:eastAsia="tr-TR"/>
              </w:rPr>
              <w:t>Toplam Getiri (%)</w:t>
            </w:r>
          </w:p>
        </w:tc>
        <w:tc>
          <w:tcPr>
            <w:tcW w:w="1722" w:type="dxa"/>
            <w:tcBorders>
              <w:top w:val="single" w:sz="4" w:space="0" w:color="auto"/>
              <w:left w:val="nil"/>
              <w:bottom w:val="single" w:sz="4" w:space="0" w:color="auto"/>
              <w:right w:val="single" w:sz="4" w:space="0" w:color="auto"/>
            </w:tcBorders>
            <w:shd w:val="clear" w:color="auto" w:fill="auto"/>
            <w:vAlign w:val="center"/>
            <w:hideMark/>
          </w:tcPr>
          <w:p w14:paraId="38190185" w14:textId="77777777" w:rsidR="00711D47" w:rsidRPr="00711D47" w:rsidRDefault="00711D47" w:rsidP="00711D47">
            <w:pPr>
              <w:spacing w:after="0" w:line="240" w:lineRule="auto"/>
              <w:jc w:val="center"/>
              <w:rPr>
                <w:rFonts w:ascii="Times New Roman" w:eastAsia="Times New Roman" w:hAnsi="Times New Roman" w:cs="Times New Roman"/>
                <w:b/>
                <w:bCs/>
                <w:color w:val="000000"/>
                <w:sz w:val="18"/>
                <w:szCs w:val="18"/>
                <w:lang w:eastAsia="tr-TR"/>
              </w:rPr>
            </w:pPr>
            <w:r w:rsidRPr="00711D47">
              <w:rPr>
                <w:rFonts w:ascii="Times New Roman" w:eastAsia="Times New Roman" w:hAnsi="Times New Roman" w:cs="Times New Roman"/>
                <w:b/>
                <w:bCs/>
                <w:color w:val="000000"/>
                <w:sz w:val="18"/>
                <w:szCs w:val="18"/>
                <w:lang w:eastAsia="tr-TR"/>
              </w:rPr>
              <w:t>Karşılaştırma Ölçütünün Getirisi/Eşik Değer (%) (*)</w:t>
            </w:r>
          </w:p>
        </w:tc>
        <w:tc>
          <w:tcPr>
            <w:tcW w:w="932" w:type="dxa"/>
            <w:tcBorders>
              <w:top w:val="single" w:sz="4" w:space="0" w:color="auto"/>
              <w:left w:val="nil"/>
              <w:bottom w:val="single" w:sz="4" w:space="0" w:color="auto"/>
              <w:right w:val="single" w:sz="4" w:space="0" w:color="auto"/>
            </w:tcBorders>
            <w:shd w:val="clear" w:color="auto" w:fill="auto"/>
            <w:vAlign w:val="center"/>
            <w:hideMark/>
          </w:tcPr>
          <w:p w14:paraId="325C1A5E" w14:textId="77777777" w:rsidR="00711D47" w:rsidRPr="00711D47" w:rsidRDefault="00711D47" w:rsidP="00711D47">
            <w:pPr>
              <w:spacing w:after="0" w:line="240" w:lineRule="auto"/>
              <w:jc w:val="center"/>
              <w:rPr>
                <w:rFonts w:ascii="Times New Roman" w:eastAsia="Times New Roman" w:hAnsi="Times New Roman" w:cs="Times New Roman"/>
                <w:b/>
                <w:bCs/>
                <w:color w:val="000000"/>
                <w:sz w:val="18"/>
                <w:szCs w:val="18"/>
                <w:lang w:eastAsia="tr-TR"/>
              </w:rPr>
            </w:pPr>
            <w:proofErr w:type="spellStart"/>
            <w:r w:rsidRPr="00711D47">
              <w:rPr>
                <w:rFonts w:ascii="Times New Roman" w:eastAsia="Times New Roman" w:hAnsi="Times New Roman" w:cs="Times New Roman"/>
                <w:b/>
                <w:bCs/>
                <w:color w:val="000000"/>
                <w:sz w:val="18"/>
                <w:szCs w:val="18"/>
                <w:lang w:eastAsia="tr-TR"/>
              </w:rPr>
              <w:t>Üfe</w:t>
            </w:r>
            <w:proofErr w:type="spellEnd"/>
            <w:r w:rsidRPr="00711D47">
              <w:rPr>
                <w:rFonts w:ascii="Times New Roman" w:eastAsia="Times New Roman" w:hAnsi="Times New Roman" w:cs="Times New Roman"/>
                <w:b/>
                <w:bCs/>
                <w:color w:val="000000"/>
                <w:sz w:val="18"/>
                <w:szCs w:val="18"/>
                <w:lang w:eastAsia="tr-TR"/>
              </w:rPr>
              <w:t xml:space="preserve"> Enflasyon Oranı (%) (**)</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14:paraId="126C53D4" w14:textId="77777777" w:rsidR="00711D47" w:rsidRPr="00711D47" w:rsidRDefault="00711D47" w:rsidP="00711D47">
            <w:pPr>
              <w:spacing w:after="0" w:line="240" w:lineRule="auto"/>
              <w:jc w:val="center"/>
              <w:rPr>
                <w:rFonts w:ascii="Times New Roman" w:eastAsia="Times New Roman" w:hAnsi="Times New Roman" w:cs="Times New Roman"/>
                <w:b/>
                <w:bCs/>
                <w:color w:val="000000"/>
                <w:sz w:val="18"/>
                <w:szCs w:val="18"/>
                <w:lang w:eastAsia="tr-TR"/>
              </w:rPr>
            </w:pPr>
            <w:r w:rsidRPr="00711D47">
              <w:rPr>
                <w:rFonts w:ascii="Times New Roman" w:eastAsia="Times New Roman" w:hAnsi="Times New Roman" w:cs="Times New Roman"/>
                <w:b/>
                <w:bCs/>
                <w:color w:val="000000"/>
                <w:sz w:val="18"/>
                <w:szCs w:val="18"/>
                <w:lang w:eastAsia="tr-TR"/>
              </w:rPr>
              <w:t>Portföyün Zaman İçinde Standart Sapması (%)</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60D8B106" w14:textId="77777777" w:rsidR="00711D47" w:rsidRPr="00711D47" w:rsidRDefault="00711D47" w:rsidP="00711D47">
            <w:pPr>
              <w:spacing w:after="0" w:line="240" w:lineRule="auto"/>
              <w:jc w:val="center"/>
              <w:rPr>
                <w:rFonts w:ascii="Times New Roman" w:eastAsia="Times New Roman" w:hAnsi="Times New Roman" w:cs="Times New Roman"/>
                <w:b/>
                <w:bCs/>
                <w:color w:val="000000"/>
                <w:sz w:val="18"/>
                <w:szCs w:val="18"/>
                <w:lang w:eastAsia="tr-TR"/>
              </w:rPr>
            </w:pPr>
            <w:r w:rsidRPr="00711D47">
              <w:rPr>
                <w:rFonts w:ascii="Times New Roman" w:eastAsia="Times New Roman" w:hAnsi="Times New Roman" w:cs="Times New Roman"/>
                <w:b/>
                <w:bCs/>
                <w:color w:val="000000"/>
                <w:sz w:val="18"/>
                <w:szCs w:val="18"/>
                <w:lang w:eastAsia="tr-TR"/>
              </w:rPr>
              <w:t>Karşılaştırma Ölçütünün Standart Sapması (%)</w:t>
            </w:r>
          </w:p>
        </w:tc>
        <w:tc>
          <w:tcPr>
            <w:tcW w:w="647" w:type="dxa"/>
            <w:tcBorders>
              <w:top w:val="single" w:sz="4" w:space="0" w:color="auto"/>
              <w:left w:val="nil"/>
              <w:bottom w:val="single" w:sz="4" w:space="0" w:color="auto"/>
              <w:right w:val="single" w:sz="4" w:space="0" w:color="auto"/>
            </w:tcBorders>
            <w:shd w:val="clear" w:color="auto" w:fill="auto"/>
            <w:vAlign w:val="center"/>
            <w:hideMark/>
          </w:tcPr>
          <w:p w14:paraId="740C182E" w14:textId="77777777" w:rsidR="00711D47" w:rsidRPr="00711D47" w:rsidRDefault="00711D47" w:rsidP="00711D47">
            <w:pPr>
              <w:spacing w:after="0" w:line="240" w:lineRule="auto"/>
              <w:jc w:val="center"/>
              <w:rPr>
                <w:rFonts w:ascii="Times New Roman" w:eastAsia="Times New Roman" w:hAnsi="Times New Roman" w:cs="Times New Roman"/>
                <w:b/>
                <w:bCs/>
                <w:color w:val="000000"/>
                <w:sz w:val="18"/>
                <w:szCs w:val="18"/>
                <w:lang w:eastAsia="tr-TR"/>
              </w:rPr>
            </w:pPr>
            <w:r w:rsidRPr="00711D47">
              <w:rPr>
                <w:rFonts w:ascii="Times New Roman" w:eastAsia="Times New Roman" w:hAnsi="Times New Roman" w:cs="Times New Roman"/>
                <w:b/>
                <w:bCs/>
                <w:color w:val="000000"/>
                <w:sz w:val="18"/>
                <w:szCs w:val="18"/>
                <w:lang w:eastAsia="tr-TR"/>
              </w:rPr>
              <w:t>Bilgi Rasyosu</w:t>
            </w:r>
          </w:p>
        </w:tc>
        <w:tc>
          <w:tcPr>
            <w:tcW w:w="1618" w:type="dxa"/>
            <w:tcBorders>
              <w:top w:val="single" w:sz="4" w:space="0" w:color="auto"/>
              <w:left w:val="nil"/>
              <w:bottom w:val="single" w:sz="4" w:space="0" w:color="auto"/>
              <w:right w:val="single" w:sz="4" w:space="0" w:color="auto"/>
            </w:tcBorders>
            <w:shd w:val="clear" w:color="auto" w:fill="auto"/>
            <w:vAlign w:val="center"/>
            <w:hideMark/>
          </w:tcPr>
          <w:p w14:paraId="0F089739" w14:textId="77777777" w:rsidR="00711D47" w:rsidRPr="00711D47" w:rsidRDefault="00711D47" w:rsidP="00711D47">
            <w:pPr>
              <w:spacing w:after="0" w:line="240" w:lineRule="auto"/>
              <w:jc w:val="center"/>
              <w:rPr>
                <w:rFonts w:ascii="Times New Roman" w:eastAsia="Times New Roman" w:hAnsi="Times New Roman" w:cs="Times New Roman"/>
                <w:b/>
                <w:bCs/>
                <w:color w:val="000000"/>
                <w:sz w:val="18"/>
                <w:szCs w:val="18"/>
                <w:lang w:eastAsia="tr-TR"/>
              </w:rPr>
            </w:pPr>
            <w:r w:rsidRPr="00711D47">
              <w:rPr>
                <w:rFonts w:ascii="Times New Roman" w:eastAsia="Times New Roman" w:hAnsi="Times New Roman" w:cs="Times New Roman"/>
                <w:b/>
                <w:bCs/>
                <w:color w:val="000000"/>
                <w:sz w:val="18"/>
                <w:szCs w:val="18"/>
                <w:lang w:eastAsia="tr-TR"/>
              </w:rPr>
              <w:t>Sunuma Dahil Dönem Sonu Portföyün Toplam Değeri</w:t>
            </w:r>
          </w:p>
        </w:tc>
      </w:tr>
      <w:tr w:rsidR="00711D47" w:rsidRPr="00711D47" w14:paraId="2C4BFC31" w14:textId="77777777" w:rsidTr="00711D47">
        <w:trPr>
          <w:trHeight w:val="432"/>
        </w:trPr>
        <w:tc>
          <w:tcPr>
            <w:tcW w:w="945" w:type="dxa"/>
            <w:tcBorders>
              <w:top w:val="nil"/>
              <w:left w:val="single" w:sz="4" w:space="0" w:color="auto"/>
              <w:bottom w:val="single" w:sz="4" w:space="0" w:color="auto"/>
              <w:right w:val="single" w:sz="4" w:space="0" w:color="auto"/>
            </w:tcBorders>
            <w:shd w:val="clear" w:color="auto" w:fill="auto"/>
            <w:vAlign w:val="center"/>
            <w:hideMark/>
          </w:tcPr>
          <w:p w14:paraId="6721F2C7" w14:textId="77777777" w:rsidR="00711D47" w:rsidRPr="00711D47" w:rsidRDefault="00711D47" w:rsidP="00711D47">
            <w:pPr>
              <w:spacing w:after="0" w:line="240" w:lineRule="auto"/>
              <w:jc w:val="center"/>
              <w:rPr>
                <w:rFonts w:ascii="Times New Roman" w:eastAsia="Times New Roman" w:hAnsi="Times New Roman" w:cs="Times New Roman"/>
                <w:b/>
                <w:bCs/>
                <w:color w:val="000000"/>
                <w:sz w:val="18"/>
                <w:szCs w:val="18"/>
                <w:lang w:eastAsia="tr-TR"/>
              </w:rPr>
            </w:pPr>
            <w:r w:rsidRPr="00711D47">
              <w:rPr>
                <w:rFonts w:ascii="Times New Roman" w:eastAsia="Times New Roman" w:hAnsi="Times New Roman" w:cs="Times New Roman"/>
                <w:b/>
                <w:bCs/>
                <w:color w:val="000000"/>
                <w:sz w:val="18"/>
                <w:szCs w:val="18"/>
                <w:lang w:eastAsia="tr-TR"/>
              </w:rPr>
              <w:t>2022</w:t>
            </w:r>
          </w:p>
        </w:tc>
        <w:tc>
          <w:tcPr>
            <w:tcW w:w="815" w:type="dxa"/>
            <w:tcBorders>
              <w:top w:val="nil"/>
              <w:left w:val="nil"/>
              <w:bottom w:val="single" w:sz="4" w:space="0" w:color="auto"/>
              <w:right w:val="single" w:sz="4" w:space="0" w:color="auto"/>
            </w:tcBorders>
            <w:shd w:val="clear" w:color="auto" w:fill="auto"/>
            <w:vAlign w:val="center"/>
            <w:hideMark/>
          </w:tcPr>
          <w:p w14:paraId="1C6BB6A7" w14:textId="77777777" w:rsidR="00711D47" w:rsidRPr="00711D47" w:rsidRDefault="00711D47" w:rsidP="00711D47">
            <w:pPr>
              <w:spacing w:after="0" w:line="240" w:lineRule="auto"/>
              <w:jc w:val="center"/>
              <w:rPr>
                <w:rFonts w:ascii="Times New Roman" w:eastAsia="Times New Roman" w:hAnsi="Times New Roman" w:cs="Times New Roman"/>
                <w:b/>
                <w:bCs/>
                <w:color w:val="000000"/>
                <w:sz w:val="18"/>
                <w:szCs w:val="18"/>
                <w:lang w:eastAsia="tr-TR"/>
              </w:rPr>
            </w:pPr>
            <w:r w:rsidRPr="00711D47">
              <w:rPr>
                <w:rFonts w:ascii="Times New Roman" w:eastAsia="Times New Roman" w:hAnsi="Times New Roman" w:cs="Times New Roman"/>
                <w:b/>
                <w:bCs/>
                <w:color w:val="000000"/>
                <w:sz w:val="18"/>
                <w:szCs w:val="18"/>
                <w:lang w:eastAsia="tr-TR"/>
              </w:rPr>
              <w:t xml:space="preserve">                33,73 </w:t>
            </w:r>
          </w:p>
        </w:tc>
        <w:tc>
          <w:tcPr>
            <w:tcW w:w="1722" w:type="dxa"/>
            <w:tcBorders>
              <w:top w:val="nil"/>
              <w:left w:val="nil"/>
              <w:bottom w:val="single" w:sz="4" w:space="0" w:color="auto"/>
              <w:right w:val="single" w:sz="4" w:space="0" w:color="auto"/>
            </w:tcBorders>
            <w:shd w:val="clear" w:color="auto" w:fill="auto"/>
            <w:vAlign w:val="center"/>
            <w:hideMark/>
          </w:tcPr>
          <w:p w14:paraId="6B4AEFE5" w14:textId="77777777" w:rsidR="00711D47" w:rsidRPr="00711D47" w:rsidRDefault="00711D47" w:rsidP="00711D47">
            <w:pPr>
              <w:spacing w:after="0" w:line="240" w:lineRule="auto"/>
              <w:rPr>
                <w:rFonts w:ascii="Times New Roman" w:eastAsia="Times New Roman" w:hAnsi="Times New Roman" w:cs="Times New Roman"/>
                <w:b/>
                <w:bCs/>
                <w:color w:val="000000"/>
                <w:sz w:val="18"/>
                <w:szCs w:val="18"/>
                <w:lang w:eastAsia="tr-TR"/>
              </w:rPr>
            </w:pPr>
            <w:r w:rsidRPr="00711D47">
              <w:rPr>
                <w:rFonts w:ascii="Times New Roman" w:eastAsia="Times New Roman" w:hAnsi="Times New Roman" w:cs="Times New Roman"/>
                <w:b/>
                <w:bCs/>
                <w:color w:val="000000"/>
                <w:sz w:val="18"/>
                <w:szCs w:val="18"/>
                <w:lang w:eastAsia="tr-TR"/>
              </w:rPr>
              <w:t xml:space="preserve">                                               15,45 </w:t>
            </w:r>
          </w:p>
        </w:tc>
        <w:tc>
          <w:tcPr>
            <w:tcW w:w="932" w:type="dxa"/>
            <w:tcBorders>
              <w:top w:val="nil"/>
              <w:left w:val="nil"/>
              <w:bottom w:val="single" w:sz="4" w:space="0" w:color="auto"/>
              <w:right w:val="single" w:sz="4" w:space="0" w:color="auto"/>
            </w:tcBorders>
            <w:shd w:val="clear" w:color="auto" w:fill="auto"/>
            <w:vAlign w:val="center"/>
            <w:hideMark/>
          </w:tcPr>
          <w:p w14:paraId="34E20C1E" w14:textId="77777777" w:rsidR="00711D47" w:rsidRPr="00711D47" w:rsidRDefault="00711D47" w:rsidP="00711D47">
            <w:pPr>
              <w:spacing w:after="0" w:line="240" w:lineRule="auto"/>
              <w:rPr>
                <w:rFonts w:ascii="Times New Roman" w:eastAsia="Times New Roman" w:hAnsi="Times New Roman" w:cs="Times New Roman"/>
                <w:b/>
                <w:bCs/>
                <w:color w:val="000000"/>
                <w:sz w:val="18"/>
                <w:szCs w:val="18"/>
                <w:lang w:eastAsia="tr-TR"/>
              </w:rPr>
            </w:pPr>
            <w:r w:rsidRPr="00711D47">
              <w:rPr>
                <w:rFonts w:ascii="Times New Roman" w:eastAsia="Times New Roman" w:hAnsi="Times New Roman" w:cs="Times New Roman"/>
                <w:b/>
                <w:bCs/>
                <w:color w:val="000000"/>
                <w:sz w:val="18"/>
                <w:szCs w:val="18"/>
                <w:lang w:eastAsia="tr-TR"/>
              </w:rPr>
              <w:t xml:space="preserve">                    79,02 </w:t>
            </w:r>
          </w:p>
        </w:tc>
        <w:tc>
          <w:tcPr>
            <w:tcW w:w="1178" w:type="dxa"/>
            <w:tcBorders>
              <w:top w:val="nil"/>
              <w:left w:val="nil"/>
              <w:bottom w:val="single" w:sz="4" w:space="0" w:color="auto"/>
              <w:right w:val="single" w:sz="4" w:space="0" w:color="auto"/>
            </w:tcBorders>
            <w:shd w:val="clear" w:color="auto" w:fill="auto"/>
            <w:vAlign w:val="center"/>
            <w:hideMark/>
          </w:tcPr>
          <w:p w14:paraId="5EF7B257" w14:textId="77777777" w:rsidR="00711D47" w:rsidRPr="00711D47" w:rsidRDefault="00711D47" w:rsidP="00711D47">
            <w:pPr>
              <w:spacing w:after="0" w:line="240" w:lineRule="auto"/>
              <w:rPr>
                <w:rFonts w:ascii="Times New Roman" w:eastAsia="Times New Roman" w:hAnsi="Times New Roman" w:cs="Times New Roman"/>
                <w:b/>
                <w:bCs/>
                <w:color w:val="000000"/>
                <w:sz w:val="18"/>
                <w:szCs w:val="18"/>
                <w:lang w:eastAsia="tr-TR"/>
              </w:rPr>
            </w:pPr>
            <w:r w:rsidRPr="00711D47">
              <w:rPr>
                <w:rFonts w:ascii="Times New Roman" w:eastAsia="Times New Roman" w:hAnsi="Times New Roman" w:cs="Times New Roman"/>
                <w:b/>
                <w:bCs/>
                <w:color w:val="000000"/>
                <w:sz w:val="18"/>
                <w:szCs w:val="18"/>
                <w:lang w:eastAsia="tr-TR"/>
              </w:rPr>
              <w:t xml:space="preserve">                              0,11 </w:t>
            </w:r>
          </w:p>
        </w:tc>
        <w:tc>
          <w:tcPr>
            <w:tcW w:w="1036" w:type="dxa"/>
            <w:tcBorders>
              <w:top w:val="nil"/>
              <w:left w:val="nil"/>
              <w:bottom w:val="single" w:sz="4" w:space="0" w:color="auto"/>
              <w:right w:val="single" w:sz="4" w:space="0" w:color="auto"/>
            </w:tcBorders>
            <w:shd w:val="clear" w:color="auto" w:fill="auto"/>
            <w:vAlign w:val="center"/>
            <w:hideMark/>
          </w:tcPr>
          <w:p w14:paraId="5F818C78" w14:textId="77777777" w:rsidR="00711D47" w:rsidRPr="00711D47" w:rsidRDefault="00711D47" w:rsidP="00711D47">
            <w:pPr>
              <w:spacing w:after="0" w:line="240" w:lineRule="auto"/>
              <w:rPr>
                <w:rFonts w:ascii="Times New Roman" w:eastAsia="Times New Roman" w:hAnsi="Times New Roman" w:cs="Times New Roman"/>
                <w:b/>
                <w:bCs/>
                <w:color w:val="000000"/>
                <w:sz w:val="18"/>
                <w:szCs w:val="18"/>
                <w:lang w:eastAsia="tr-TR"/>
              </w:rPr>
            </w:pPr>
            <w:r w:rsidRPr="00711D47">
              <w:rPr>
                <w:rFonts w:ascii="Times New Roman" w:eastAsia="Times New Roman" w:hAnsi="Times New Roman" w:cs="Times New Roman"/>
                <w:b/>
                <w:bCs/>
                <w:color w:val="000000"/>
                <w:sz w:val="18"/>
                <w:szCs w:val="18"/>
                <w:lang w:eastAsia="tr-TR"/>
              </w:rPr>
              <w:t xml:space="preserve">                          0,04 </w:t>
            </w:r>
          </w:p>
        </w:tc>
        <w:tc>
          <w:tcPr>
            <w:tcW w:w="647" w:type="dxa"/>
            <w:tcBorders>
              <w:top w:val="nil"/>
              <w:left w:val="nil"/>
              <w:bottom w:val="single" w:sz="4" w:space="0" w:color="auto"/>
              <w:right w:val="single" w:sz="4" w:space="0" w:color="auto"/>
            </w:tcBorders>
            <w:shd w:val="clear" w:color="auto" w:fill="auto"/>
            <w:vAlign w:val="center"/>
            <w:hideMark/>
          </w:tcPr>
          <w:p w14:paraId="07F6C1C5" w14:textId="77777777" w:rsidR="00711D47" w:rsidRPr="00711D47" w:rsidRDefault="00711D47" w:rsidP="00711D47">
            <w:pPr>
              <w:spacing w:after="0" w:line="240" w:lineRule="auto"/>
              <w:rPr>
                <w:rFonts w:ascii="Times New Roman" w:eastAsia="Times New Roman" w:hAnsi="Times New Roman" w:cs="Times New Roman"/>
                <w:b/>
                <w:bCs/>
                <w:color w:val="000000"/>
                <w:sz w:val="18"/>
                <w:szCs w:val="18"/>
                <w:lang w:eastAsia="tr-TR"/>
              </w:rPr>
            </w:pPr>
            <w:r w:rsidRPr="00711D47">
              <w:rPr>
                <w:rFonts w:ascii="Times New Roman" w:eastAsia="Times New Roman" w:hAnsi="Times New Roman" w:cs="Times New Roman"/>
                <w:b/>
                <w:bCs/>
                <w:color w:val="000000"/>
                <w:sz w:val="18"/>
                <w:szCs w:val="18"/>
                <w:lang w:eastAsia="tr-TR"/>
              </w:rPr>
              <w:t xml:space="preserve">            0,06 </w:t>
            </w:r>
          </w:p>
        </w:tc>
        <w:tc>
          <w:tcPr>
            <w:tcW w:w="1618" w:type="dxa"/>
            <w:tcBorders>
              <w:top w:val="nil"/>
              <w:left w:val="nil"/>
              <w:bottom w:val="single" w:sz="4" w:space="0" w:color="auto"/>
              <w:right w:val="single" w:sz="4" w:space="0" w:color="auto"/>
            </w:tcBorders>
            <w:shd w:val="clear" w:color="auto" w:fill="auto"/>
            <w:vAlign w:val="center"/>
            <w:hideMark/>
          </w:tcPr>
          <w:p w14:paraId="207464CE" w14:textId="77777777" w:rsidR="00711D47" w:rsidRPr="00711D47" w:rsidRDefault="00711D47" w:rsidP="00711D47">
            <w:pPr>
              <w:spacing w:after="0" w:line="240" w:lineRule="auto"/>
              <w:jc w:val="center"/>
              <w:rPr>
                <w:rFonts w:ascii="Times New Roman" w:eastAsia="Times New Roman" w:hAnsi="Times New Roman" w:cs="Times New Roman"/>
                <w:b/>
                <w:bCs/>
                <w:color w:val="000000"/>
                <w:sz w:val="18"/>
                <w:szCs w:val="18"/>
                <w:lang w:eastAsia="tr-TR"/>
              </w:rPr>
            </w:pPr>
            <w:r w:rsidRPr="00711D47">
              <w:rPr>
                <w:rFonts w:ascii="Times New Roman" w:eastAsia="Times New Roman" w:hAnsi="Times New Roman" w:cs="Times New Roman"/>
                <w:b/>
                <w:bCs/>
                <w:color w:val="000000"/>
                <w:sz w:val="18"/>
                <w:szCs w:val="18"/>
                <w:lang w:eastAsia="tr-TR"/>
              </w:rPr>
              <w:t xml:space="preserve">                            103.053.882,52 </w:t>
            </w:r>
          </w:p>
        </w:tc>
      </w:tr>
      <w:tr w:rsidR="00711D47" w:rsidRPr="00711D47" w14:paraId="0FB6F85E" w14:textId="77777777" w:rsidTr="00711D47">
        <w:trPr>
          <w:trHeight w:val="279"/>
        </w:trPr>
        <w:tc>
          <w:tcPr>
            <w:tcW w:w="945" w:type="dxa"/>
            <w:tcBorders>
              <w:top w:val="nil"/>
              <w:left w:val="single" w:sz="4" w:space="0" w:color="auto"/>
              <w:bottom w:val="single" w:sz="4" w:space="0" w:color="auto"/>
              <w:right w:val="single" w:sz="4" w:space="0" w:color="auto"/>
            </w:tcBorders>
            <w:shd w:val="clear" w:color="auto" w:fill="auto"/>
            <w:vAlign w:val="center"/>
            <w:hideMark/>
          </w:tcPr>
          <w:p w14:paraId="7A16B6F8" w14:textId="77777777" w:rsidR="00711D47" w:rsidRPr="00711D47" w:rsidRDefault="00711D47" w:rsidP="00711D47">
            <w:pPr>
              <w:spacing w:after="0" w:line="240" w:lineRule="auto"/>
              <w:jc w:val="center"/>
              <w:rPr>
                <w:rFonts w:ascii="Times New Roman" w:eastAsia="Times New Roman" w:hAnsi="Times New Roman" w:cs="Times New Roman"/>
                <w:b/>
                <w:bCs/>
                <w:color w:val="000000"/>
                <w:sz w:val="18"/>
                <w:szCs w:val="18"/>
                <w:lang w:eastAsia="tr-TR"/>
              </w:rPr>
            </w:pPr>
            <w:r w:rsidRPr="00711D47">
              <w:rPr>
                <w:rFonts w:ascii="Times New Roman" w:eastAsia="Times New Roman" w:hAnsi="Times New Roman" w:cs="Times New Roman"/>
                <w:b/>
                <w:bCs/>
                <w:color w:val="000000"/>
                <w:sz w:val="18"/>
                <w:szCs w:val="18"/>
                <w:lang w:eastAsia="tr-TR"/>
              </w:rPr>
              <w:t>2023</w:t>
            </w:r>
          </w:p>
        </w:tc>
        <w:tc>
          <w:tcPr>
            <w:tcW w:w="815" w:type="dxa"/>
            <w:tcBorders>
              <w:top w:val="nil"/>
              <w:left w:val="nil"/>
              <w:bottom w:val="single" w:sz="4" w:space="0" w:color="auto"/>
              <w:right w:val="single" w:sz="4" w:space="0" w:color="auto"/>
            </w:tcBorders>
            <w:shd w:val="clear" w:color="auto" w:fill="auto"/>
            <w:vAlign w:val="center"/>
            <w:hideMark/>
          </w:tcPr>
          <w:p w14:paraId="547639C2" w14:textId="77777777" w:rsidR="00711D47" w:rsidRPr="00711D47" w:rsidRDefault="00711D47" w:rsidP="00711D47">
            <w:pPr>
              <w:spacing w:after="0" w:line="240" w:lineRule="auto"/>
              <w:jc w:val="center"/>
              <w:rPr>
                <w:rFonts w:ascii="Times New Roman" w:eastAsia="Times New Roman" w:hAnsi="Times New Roman" w:cs="Times New Roman"/>
                <w:b/>
                <w:bCs/>
                <w:color w:val="000000"/>
                <w:sz w:val="18"/>
                <w:szCs w:val="18"/>
                <w:lang w:eastAsia="tr-TR"/>
              </w:rPr>
            </w:pPr>
            <w:r w:rsidRPr="00711D47">
              <w:rPr>
                <w:rFonts w:ascii="Times New Roman" w:eastAsia="Times New Roman" w:hAnsi="Times New Roman" w:cs="Times New Roman"/>
                <w:b/>
                <w:bCs/>
                <w:color w:val="000000"/>
                <w:sz w:val="18"/>
                <w:szCs w:val="18"/>
                <w:lang w:eastAsia="tr-TR"/>
              </w:rPr>
              <w:t xml:space="preserve">                44,46 </w:t>
            </w:r>
          </w:p>
        </w:tc>
        <w:tc>
          <w:tcPr>
            <w:tcW w:w="1722" w:type="dxa"/>
            <w:tcBorders>
              <w:top w:val="nil"/>
              <w:left w:val="nil"/>
              <w:bottom w:val="single" w:sz="4" w:space="0" w:color="auto"/>
              <w:right w:val="single" w:sz="4" w:space="0" w:color="auto"/>
            </w:tcBorders>
            <w:shd w:val="clear" w:color="auto" w:fill="auto"/>
            <w:vAlign w:val="center"/>
            <w:hideMark/>
          </w:tcPr>
          <w:p w14:paraId="5692B672" w14:textId="77777777" w:rsidR="00711D47" w:rsidRPr="00711D47" w:rsidRDefault="00711D47" w:rsidP="00711D47">
            <w:pPr>
              <w:spacing w:after="0" w:line="240" w:lineRule="auto"/>
              <w:rPr>
                <w:rFonts w:ascii="Times New Roman" w:eastAsia="Times New Roman" w:hAnsi="Times New Roman" w:cs="Times New Roman"/>
                <w:b/>
                <w:bCs/>
                <w:color w:val="000000"/>
                <w:sz w:val="18"/>
                <w:szCs w:val="18"/>
                <w:lang w:eastAsia="tr-TR"/>
              </w:rPr>
            </w:pPr>
            <w:r w:rsidRPr="00711D47">
              <w:rPr>
                <w:rFonts w:ascii="Times New Roman" w:eastAsia="Times New Roman" w:hAnsi="Times New Roman" w:cs="Times New Roman"/>
                <w:b/>
                <w:bCs/>
                <w:color w:val="000000"/>
                <w:sz w:val="18"/>
                <w:szCs w:val="18"/>
                <w:lang w:eastAsia="tr-TR"/>
              </w:rPr>
              <w:t xml:space="preserve">                                               28,33 </w:t>
            </w:r>
          </w:p>
        </w:tc>
        <w:tc>
          <w:tcPr>
            <w:tcW w:w="932" w:type="dxa"/>
            <w:tcBorders>
              <w:top w:val="nil"/>
              <w:left w:val="nil"/>
              <w:bottom w:val="single" w:sz="4" w:space="0" w:color="auto"/>
              <w:right w:val="single" w:sz="4" w:space="0" w:color="auto"/>
            </w:tcBorders>
            <w:shd w:val="clear" w:color="auto" w:fill="auto"/>
            <w:vAlign w:val="center"/>
            <w:hideMark/>
          </w:tcPr>
          <w:p w14:paraId="556E0DA0" w14:textId="77777777" w:rsidR="00711D47" w:rsidRPr="00711D47" w:rsidRDefault="00711D47" w:rsidP="00711D47">
            <w:pPr>
              <w:spacing w:after="0" w:line="240" w:lineRule="auto"/>
              <w:rPr>
                <w:rFonts w:ascii="Times New Roman" w:eastAsia="Times New Roman" w:hAnsi="Times New Roman" w:cs="Times New Roman"/>
                <w:b/>
                <w:bCs/>
                <w:color w:val="000000"/>
                <w:sz w:val="18"/>
                <w:szCs w:val="18"/>
                <w:lang w:eastAsia="tr-TR"/>
              </w:rPr>
            </w:pPr>
            <w:r w:rsidRPr="00711D47">
              <w:rPr>
                <w:rFonts w:ascii="Times New Roman" w:eastAsia="Times New Roman" w:hAnsi="Times New Roman" w:cs="Times New Roman"/>
                <w:b/>
                <w:bCs/>
                <w:color w:val="000000"/>
                <w:sz w:val="18"/>
                <w:szCs w:val="18"/>
                <w:lang w:eastAsia="tr-TR"/>
              </w:rPr>
              <w:t xml:space="preserve">                    44,22 </w:t>
            </w:r>
          </w:p>
        </w:tc>
        <w:tc>
          <w:tcPr>
            <w:tcW w:w="1178" w:type="dxa"/>
            <w:tcBorders>
              <w:top w:val="nil"/>
              <w:left w:val="nil"/>
              <w:bottom w:val="single" w:sz="4" w:space="0" w:color="auto"/>
              <w:right w:val="single" w:sz="4" w:space="0" w:color="auto"/>
            </w:tcBorders>
            <w:shd w:val="clear" w:color="auto" w:fill="auto"/>
            <w:vAlign w:val="center"/>
            <w:hideMark/>
          </w:tcPr>
          <w:p w14:paraId="7A0DA7A3" w14:textId="77777777" w:rsidR="00711D47" w:rsidRPr="00711D47" w:rsidRDefault="00711D47" w:rsidP="00711D47">
            <w:pPr>
              <w:spacing w:after="0" w:line="240" w:lineRule="auto"/>
              <w:rPr>
                <w:rFonts w:ascii="Times New Roman" w:eastAsia="Times New Roman" w:hAnsi="Times New Roman" w:cs="Times New Roman"/>
                <w:b/>
                <w:bCs/>
                <w:color w:val="000000"/>
                <w:sz w:val="18"/>
                <w:szCs w:val="18"/>
                <w:lang w:eastAsia="tr-TR"/>
              </w:rPr>
            </w:pPr>
            <w:r w:rsidRPr="00711D47">
              <w:rPr>
                <w:rFonts w:ascii="Times New Roman" w:eastAsia="Times New Roman" w:hAnsi="Times New Roman" w:cs="Times New Roman"/>
                <w:b/>
                <w:bCs/>
                <w:color w:val="000000"/>
                <w:sz w:val="18"/>
                <w:szCs w:val="18"/>
                <w:lang w:eastAsia="tr-TR"/>
              </w:rPr>
              <w:t xml:space="preserve">                              0,12 </w:t>
            </w:r>
          </w:p>
        </w:tc>
        <w:tc>
          <w:tcPr>
            <w:tcW w:w="1036" w:type="dxa"/>
            <w:tcBorders>
              <w:top w:val="nil"/>
              <w:left w:val="nil"/>
              <w:bottom w:val="single" w:sz="4" w:space="0" w:color="auto"/>
              <w:right w:val="single" w:sz="4" w:space="0" w:color="auto"/>
            </w:tcBorders>
            <w:shd w:val="clear" w:color="auto" w:fill="auto"/>
            <w:vAlign w:val="center"/>
            <w:hideMark/>
          </w:tcPr>
          <w:p w14:paraId="78E5035C" w14:textId="77777777" w:rsidR="00711D47" w:rsidRPr="00711D47" w:rsidRDefault="00711D47" w:rsidP="00711D47">
            <w:pPr>
              <w:spacing w:after="0" w:line="240" w:lineRule="auto"/>
              <w:rPr>
                <w:rFonts w:ascii="Times New Roman" w:eastAsia="Times New Roman" w:hAnsi="Times New Roman" w:cs="Times New Roman"/>
                <w:b/>
                <w:bCs/>
                <w:color w:val="000000"/>
                <w:sz w:val="18"/>
                <w:szCs w:val="18"/>
                <w:lang w:eastAsia="tr-TR"/>
              </w:rPr>
            </w:pPr>
            <w:r w:rsidRPr="00711D47">
              <w:rPr>
                <w:rFonts w:ascii="Times New Roman" w:eastAsia="Times New Roman" w:hAnsi="Times New Roman" w:cs="Times New Roman"/>
                <w:b/>
                <w:bCs/>
                <w:color w:val="000000"/>
                <w:sz w:val="18"/>
                <w:szCs w:val="18"/>
                <w:lang w:eastAsia="tr-TR"/>
              </w:rPr>
              <w:t xml:space="preserve">                          0,07 </w:t>
            </w:r>
          </w:p>
        </w:tc>
        <w:tc>
          <w:tcPr>
            <w:tcW w:w="647" w:type="dxa"/>
            <w:tcBorders>
              <w:top w:val="nil"/>
              <w:left w:val="nil"/>
              <w:bottom w:val="single" w:sz="4" w:space="0" w:color="auto"/>
              <w:right w:val="single" w:sz="4" w:space="0" w:color="auto"/>
            </w:tcBorders>
            <w:shd w:val="clear" w:color="auto" w:fill="auto"/>
            <w:vAlign w:val="center"/>
            <w:hideMark/>
          </w:tcPr>
          <w:p w14:paraId="04BED70A" w14:textId="77777777" w:rsidR="00711D47" w:rsidRPr="00711D47" w:rsidRDefault="00711D47" w:rsidP="00711D47">
            <w:pPr>
              <w:spacing w:after="0" w:line="240" w:lineRule="auto"/>
              <w:rPr>
                <w:rFonts w:ascii="Times New Roman" w:eastAsia="Times New Roman" w:hAnsi="Times New Roman" w:cs="Times New Roman"/>
                <w:b/>
                <w:bCs/>
                <w:color w:val="000000"/>
                <w:sz w:val="18"/>
                <w:szCs w:val="18"/>
                <w:lang w:eastAsia="tr-TR"/>
              </w:rPr>
            </w:pPr>
            <w:r w:rsidRPr="00711D47">
              <w:rPr>
                <w:rFonts w:ascii="Times New Roman" w:eastAsia="Times New Roman" w:hAnsi="Times New Roman" w:cs="Times New Roman"/>
                <w:b/>
                <w:bCs/>
                <w:color w:val="000000"/>
                <w:sz w:val="18"/>
                <w:szCs w:val="18"/>
                <w:lang w:eastAsia="tr-TR"/>
              </w:rPr>
              <w:t xml:space="preserve">            0,05 </w:t>
            </w:r>
          </w:p>
        </w:tc>
        <w:tc>
          <w:tcPr>
            <w:tcW w:w="1618" w:type="dxa"/>
            <w:tcBorders>
              <w:top w:val="nil"/>
              <w:left w:val="nil"/>
              <w:bottom w:val="single" w:sz="4" w:space="0" w:color="auto"/>
              <w:right w:val="single" w:sz="4" w:space="0" w:color="auto"/>
            </w:tcBorders>
            <w:shd w:val="clear" w:color="auto" w:fill="auto"/>
            <w:vAlign w:val="center"/>
            <w:hideMark/>
          </w:tcPr>
          <w:p w14:paraId="284C3C6D" w14:textId="77777777" w:rsidR="00711D47" w:rsidRPr="00711D47" w:rsidRDefault="00711D47" w:rsidP="00711D47">
            <w:pPr>
              <w:spacing w:after="0" w:line="240" w:lineRule="auto"/>
              <w:jc w:val="center"/>
              <w:rPr>
                <w:rFonts w:ascii="Times New Roman" w:eastAsia="Times New Roman" w:hAnsi="Times New Roman" w:cs="Times New Roman"/>
                <w:b/>
                <w:bCs/>
                <w:color w:val="000000"/>
                <w:sz w:val="18"/>
                <w:szCs w:val="18"/>
                <w:lang w:eastAsia="tr-TR"/>
              </w:rPr>
            </w:pPr>
            <w:r w:rsidRPr="00711D47">
              <w:rPr>
                <w:rFonts w:ascii="Times New Roman" w:eastAsia="Times New Roman" w:hAnsi="Times New Roman" w:cs="Times New Roman"/>
                <w:b/>
                <w:bCs/>
                <w:color w:val="000000"/>
                <w:sz w:val="18"/>
                <w:szCs w:val="18"/>
                <w:lang w:eastAsia="tr-TR"/>
              </w:rPr>
              <w:t xml:space="preserve">                              74.047.898,61 </w:t>
            </w:r>
          </w:p>
        </w:tc>
      </w:tr>
      <w:tr w:rsidR="00711D47" w:rsidRPr="00711D47" w14:paraId="135DDAE0" w14:textId="77777777" w:rsidTr="00711D47">
        <w:trPr>
          <w:trHeight w:val="279"/>
        </w:trPr>
        <w:tc>
          <w:tcPr>
            <w:tcW w:w="945" w:type="dxa"/>
            <w:tcBorders>
              <w:top w:val="nil"/>
              <w:left w:val="single" w:sz="4" w:space="0" w:color="auto"/>
              <w:bottom w:val="single" w:sz="4" w:space="0" w:color="auto"/>
              <w:right w:val="single" w:sz="4" w:space="0" w:color="auto"/>
            </w:tcBorders>
            <w:shd w:val="clear" w:color="auto" w:fill="auto"/>
            <w:vAlign w:val="center"/>
            <w:hideMark/>
          </w:tcPr>
          <w:p w14:paraId="7962EEA9" w14:textId="7548B62E" w:rsidR="00711D47" w:rsidRPr="00711D47" w:rsidRDefault="00711D47" w:rsidP="00711D47">
            <w:pPr>
              <w:spacing w:after="0" w:line="240" w:lineRule="auto"/>
              <w:jc w:val="center"/>
              <w:rPr>
                <w:rFonts w:ascii="Times New Roman" w:eastAsia="Times New Roman" w:hAnsi="Times New Roman" w:cs="Times New Roman"/>
                <w:b/>
                <w:bCs/>
                <w:color w:val="000000"/>
                <w:sz w:val="18"/>
                <w:szCs w:val="18"/>
                <w:lang w:eastAsia="tr-TR"/>
              </w:rPr>
            </w:pPr>
            <w:r w:rsidRPr="00711D47">
              <w:rPr>
                <w:rFonts w:ascii="Times New Roman" w:eastAsia="Times New Roman" w:hAnsi="Times New Roman" w:cs="Times New Roman"/>
                <w:b/>
                <w:bCs/>
                <w:color w:val="000000"/>
                <w:sz w:val="18"/>
                <w:szCs w:val="18"/>
                <w:lang w:eastAsia="tr-TR"/>
              </w:rPr>
              <w:t>2024</w:t>
            </w:r>
            <w:r>
              <w:rPr>
                <w:rFonts w:ascii="Times New Roman" w:eastAsia="Times New Roman" w:hAnsi="Times New Roman" w:cs="Times New Roman"/>
                <w:b/>
                <w:bCs/>
                <w:color w:val="000000"/>
                <w:sz w:val="18"/>
                <w:szCs w:val="18"/>
                <w:lang w:eastAsia="tr-TR"/>
              </w:rPr>
              <w:t>***</w:t>
            </w:r>
          </w:p>
        </w:tc>
        <w:tc>
          <w:tcPr>
            <w:tcW w:w="815" w:type="dxa"/>
            <w:tcBorders>
              <w:top w:val="nil"/>
              <w:left w:val="nil"/>
              <w:bottom w:val="single" w:sz="4" w:space="0" w:color="auto"/>
              <w:right w:val="single" w:sz="4" w:space="0" w:color="auto"/>
            </w:tcBorders>
            <w:shd w:val="clear" w:color="auto" w:fill="auto"/>
            <w:vAlign w:val="center"/>
            <w:hideMark/>
          </w:tcPr>
          <w:p w14:paraId="636AB24B" w14:textId="77777777" w:rsidR="00711D47" w:rsidRPr="00711D47" w:rsidRDefault="00711D47" w:rsidP="00711D47">
            <w:pPr>
              <w:spacing w:after="0" w:line="240" w:lineRule="auto"/>
              <w:jc w:val="center"/>
              <w:rPr>
                <w:rFonts w:ascii="Times New Roman" w:eastAsia="Times New Roman" w:hAnsi="Times New Roman" w:cs="Times New Roman"/>
                <w:b/>
                <w:bCs/>
                <w:color w:val="000000"/>
                <w:sz w:val="18"/>
                <w:szCs w:val="18"/>
                <w:lang w:eastAsia="tr-TR"/>
              </w:rPr>
            </w:pPr>
            <w:r w:rsidRPr="00711D47">
              <w:rPr>
                <w:rFonts w:ascii="Times New Roman" w:eastAsia="Times New Roman" w:hAnsi="Times New Roman" w:cs="Times New Roman"/>
                <w:b/>
                <w:bCs/>
                <w:color w:val="000000"/>
                <w:sz w:val="18"/>
                <w:szCs w:val="18"/>
                <w:lang w:eastAsia="tr-TR"/>
              </w:rPr>
              <w:t xml:space="preserve">                27,61 </w:t>
            </w:r>
          </w:p>
        </w:tc>
        <w:tc>
          <w:tcPr>
            <w:tcW w:w="1722" w:type="dxa"/>
            <w:tcBorders>
              <w:top w:val="nil"/>
              <w:left w:val="nil"/>
              <w:bottom w:val="single" w:sz="4" w:space="0" w:color="auto"/>
              <w:right w:val="single" w:sz="4" w:space="0" w:color="auto"/>
            </w:tcBorders>
            <w:shd w:val="clear" w:color="auto" w:fill="auto"/>
            <w:vAlign w:val="center"/>
            <w:hideMark/>
          </w:tcPr>
          <w:p w14:paraId="0F46CC7A" w14:textId="77777777" w:rsidR="00711D47" w:rsidRPr="00711D47" w:rsidRDefault="00711D47" w:rsidP="00711D47">
            <w:pPr>
              <w:spacing w:after="0" w:line="240" w:lineRule="auto"/>
              <w:rPr>
                <w:rFonts w:ascii="Times New Roman" w:eastAsia="Times New Roman" w:hAnsi="Times New Roman" w:cs="Times New Roman"/>
                <w:b/>
                <w:bCs/>
                <w:color w:val="000000"/>
                <w:sz w:val="18"/>
                <w:szCs w:val="18"/>
                <w:lang w:eastAsia="tr-TR"/>
              </w:rPr>
            </w:pPr>
            <w:r w:rsidRPr="00711D47">
              <w:rPr>
                <w:rFonts w:ascii="Times New Roman" w:eastAsia="Times New Roman" w:hAnsi="Times New Roman" w:cs="Times New Roman"/>
                <w:b/>
                <w:bCs/>
                <w:color w:val="000000"/>
                <w:sz w:val="18"/>
                <w:szCs w:val="18"/>
                <w:lang w:eastAsia="tr-TR"/>
              </w:rPr>
              <w:t xml:space="preserve">                                               27,41 </w:t>
            </w:r>
          </w:p>
        </w:tc>
        <w:tc>
          <w:tcPr>
            <w:tcW w:w="932" w:type="dxa"/>
            <w:tcBorders>
              <w:top w:val="nil"/>
              <w:left w:val="nil"/>
              <w:bottom w:val="single" w:sz="4" w:space="0" w:color="auto"/>
              <w:right w:val="single" w:sz="4" w:space="0" w:color="auto"/>
            </w:tcBorders>
            <w:shd w:val="clear" w:color="auto" w:fill="auto"/>
            <w:vAlign w:val="center"/>
            <w:hideMark/>
          </w:tcPr>
          <w:p w14:paraId="2A1F2702" w14:textId="77777777" w:rsidR="00711D47" w:rsidRPr="00711D47" w:rsidRDefault="00711D47" w:rsidP="00711D47">
            <w:pPr>
              <w:spacing w:after="0" w:line="240" w:lineRule="auto"/>
              <w:rPr>
                <w:rFonts w:ascii="Times New Roman" w:eastAsia="Times New Roman" w:hAnsi="Times New Roman" w:cs="Times New Roman"/>
                <w:b/>
                <w:bCs/>
                <w:color w:val="000000"/>
                <w:sz w:val="18"/>
                <w:szCs w:val="18"/>
                <w:lang w:eastAsia="tr-TR"/>
              </w:rPr>
            </w:pPr>
            <w:r w:rsidRPr="00711D47">
              <w:rPr>
                <w:rFonts w:ascii="Times New Roman" w:eastAsia="Times New Roman" w:hAnsi="Times New Roman" w:cs="Times New Roman"/>
                <w:b/>
                <w:bCs/>
                <w:color w:val="000000"/>
                <w:sz w:val="18"/>
                <w:szCs w:val="18"/>
                <w:lang w:eastAsia="tr-TR"/>
              </w:rPr>
              <w:t xml:space="preserve">                    19,49 </w:t>
            </w:r>
          </w:p>
        </w:tc>
        <w:tc>
          <w:tcPr>
            <w:tcW w:w="1178" w:type="dxa"/>
            <w:tcBorders>
              <w:top w:val="nil"/>
              <w:left w:val="nil"/>
              <w:bottom w:val="single" w:sz="4" w:space="0" w:color="auto"/>
              <w:right w:val="single" w:sz="4" w:space="0" w:color="auto"/>
            </w:tcBorders>
            <w:shd w:val="clear" w:color="auto" w:fill="auto"/>
            <w:vAlign w:val="center"/>
            <w:hideMark/>
          </w:tcPr>
          <w:p w14:paraId="08284488" w14:textId="77777777" w:rsidR="00711D47" w:rsidRPr="00711D47" w:rsidRDefault="00711D47" w:rsidP="00711D47">
            <w:pPr>
              <w:spacing w:after="0" w:line="240" w:lineRule="auto"/>
              <w:rPr>
                <w:rFonts w:ascii="Times New Roman" w:eastAsia="Times New Roman" w:hAnsi="Times New Roman" w:cs="Times New Roman"/>
                <w:b/>
                <w:bCs/>
                <w:color w:val="000000"/>
                <w:sz w:val="18"/>
                <w:szCs w:val="18"/>
                <w:lang w:eastAsia="tr-TR"/>
              </w:rPr>
            </w:pPr>
            <w:r w:rsidRPr="00711D47">
              <w:rPr>
                <w:rFonts w:ascii="Times New Roman" w:eastAsia="Times New Roman" w:hAnsi="Times New Roman" w:cs="Times New Roman"/>
                <w:b/>
                <w:bCs/>
                <w:color w:val="000000"/>
                <w:sz w:val="18"/>
                <w:szCs w:val="18"/>
                <w:lang w:eastAsia="tr-TR"/>
              </w:rPr>
              <w:t xml:space="preserve">                              0,14 </w:t>
            </w:r>
          </w:p>
        </w:tc>
        <w:tc>
          <w:tcPr>
            <w:tcW w:w="1036" w:type="dxa"/>
            <w:tcBorders>
              <w:top w:val="nil"/>
              <w:left w:val="nil"/>
              <w:bottom w:val="single" w:sz="4" w:space="0" w:color="auto"/>
              <w:right w:val="single" w:sz="4" w:space="0" w:color="auto"/>
            </w:tcBorders>
            <w:shd w:val="clear" w:color="auto" w:fill="auto"/>
            <w:vAlign w:val="center"/>
            <w:hideMark/>
          </w:tcPr>
          <w:p w14:paraId="0BD9CFDB" w14:textId="77777777" w:rsidR="00711D47" w:rsidRPr="00711D47" w:rsidRDefault="00711D47" w:rsidP="00711D47">
            <w:pPr>
              <w:spacing w:after="0" w:line="240" w:lineRule="auto"/>
              <w:rPr>
                <w:rFonts w:ascii="Times New Roman" w:eastAsia="Times New Roman" w:hAnsi="Times New Roman" w:cs="Times New Roman"/>
                <w:b/>
                <w:bCs/>
                <w:color w:val="000000"/>
                <w:sz w:val="18"/>
                <w:szCs w:val="18"/>
                <w:lang w:eastAsia="tr-TR"/>
              </w:rPr>
            </w:pPr>
            <w:r w:rsidRPr="00711D47">
              <w:rPr>
                <w:rFonts w:ascii="Times New Roman" w:eastAsia="Times New Roman" w:hAnsi="Times New Roman" w:cs="Times New Roman"/>
                <w:b/>
                <w:bCs/>
                <w:color w:val="000000"/>
                <w:sz w:val="18"/>
                <w:szCs w:val="18"/>
                <w:lang w:eastAsia="tr-TR"/>
              </w:rPr>
              <w:t xml:space="preserve">                          0,14 </w:t>
            </w:r>
          </w:p>
        </w:tc>
        <w:tc>
          <w:tcPr>
            <w:tcW w:w="647" w:type="dxa"/>
            <w:tcBorders>
              <w:top w:val="nil"/>
              <w:left w:val="nil"/>
              <w:bottom w:val="single" w:sz="4" w:space="0" w:color="auto"/>
              <w:right w:val="single" w:sz="4" w:space="0" w:color="auto"/>
            </w:tcBorders>
            <w:shd w:val="clear" w:color="auto" w:fill="auto"/>
            <w:vAlign w:val="center"/>
            <w:hideMark/>
          </w:tcPr>
          <w:p w14:paraId="3E07ABBF" w14:textId="77777777" w:rsidR="00711D47" w:rsidRPr="00711D47" w:rsidRDefault="00711D47" w:rsidP="00711D47">
            <w:pPr>
              <w:spacing w:after="0" w:line="240" w:lineRule="auto"/>
              <w:rPr>
                <w:rFonts w:ascii="Times New Roman" w:eastAsia="Times New Roman" w:hAnsi="Times New Roman" w:cs="Times New Roman"/>
                <w:b/>
                <w:bCs/>
                <w:color w:val="000000"/>
                <w:sz w:val="18"/>
                <w:szCs w:val="18"/>
                <w:lang w:eastAsia="tr-TR"/>
              </w:rPr>
            </w:pPr>
            <w:r w:rsidRPr="00711D47">
              <w:rPr>
                <w:rFonts w:ascii="Times New Roman" w:eastAsia="Times New Roman" w:hAnsi="Times New Roman" w:cs="Times New Roman"/>
                <w:b/>
                <w:bCs/>
                <w:color w:val="000000"/>
                <w:sz w:val="18"/>
                <w:szCs w:val="18"/>
                <w:lang w:eastAsia="tr-TR"/>
              </w:rPr>
              <w:t xml:space="preserve">            0,00 </w:t>
            </w:r>
          </w:p>
        </w:tc>
        <w:tc>
          <w:tcPr>
            <w:tcW w:w="1618" w:type="dxa"/>
            <w:tcBorders>
              <w:top w:val="nil"/>
              <w:left w:val="nil"/>
              <w:bottom w:val="single" w:sz="4" w:space="0" w:color="auto"/>
              <w:right w:val="single" w:sz="4" w:space="0" w:color="auto"/>
            </w:tcBorders>
            <w:shd w:val="clear" w:color="auto" w:fill="auto"/>
            <w:vAlign w:val="center"/>
            <w:hideMark/>
          </w:tcPr>
          <w:p w14:paraId="47549827" w14:textId="77777777" w:rsidR="00711D47" w:rsidRPr="00711D47" w:rsidRDefault="00711D47" w:rsidP="00711D47">
            <w:pPr>
              <w:spacing w:after="0" w:line="240" w:lineRule="auto"/>
              <w:jc w:val="center"/>
              <w:rPr>
                <w:rFonts w:ascii="Times New Roman" w:eastAsia="Times New Roman" w:hAnsi="Times New Roman" w:cs="Times New Roman"/>
                <w:b/>
                <w:bCs/>
                <w:color w:val="000000"/>
                <w:sz w:val="18"/>
                <w:szCs w:val="18"/>
                <w:lang w:eastAsia="tr-TR"/>
              </w:rPr>
            </w:pPr>
            <w:r w:rsidRPr="00711D47">
              <w:rPr>
                <w:rFonts w:ascii="Times New Roman" w:eastAsia="Times New Roman" w:hAnsi="Times New Roman" w:cs="Times New Roman"/>
                <w:b/>
                <w:bCs/>
                <w:color w:val="000000"/>
                <w:sz w:val="18"/>
                <w:szCs w:val="18"/>
                <w:lang w:eastAsia="tr-TR"/>
              </w:rPr>
              <w:t xml:space="preserve">                            139.446.413,44 </w:t>
            </w:r>
          </w:p>
        </w:tc>
      </w:tr>
    </w:tbl>
    <w:p w14:paraId="7A161A44" w14:textId="77777777" w:rsidR="00106889" w:rsidRDefault="00106889" w:rsidP="00032E31">
      <w:pPr>
        <w:spacing w:after="0"/>
        <w:jc w:val="both"/>
        <w:rPr>
          <w:rFonts w:ascii="Times New Roman" w:hAnsi="Times New Roman" w:cs="Times New Roman"/>
          <w:sz w:val="24"/>
          <w:szCs w:val="24"/>
        </w:rPr>
      </w:pPr>
    </w:p>
    <w:p w14:paraId="3CFA9904" w14:textId="77777777" w:rsidR="00621CF3" w:rsidRDefault="00030329" w:rsidP="00032E31">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5C70A1">
        <w:rPr>
          <w:rFonts w:ascii="Times New Roman" w:hAnsi="Times New Roman" w:cs="Times New Roman"/>
          <w:sz w:val="24"/>
          <w:szCs w:val="24"/>
        </w:rPr>
        <w:t>Eşik Değer</w:t>
      </w:r>
      <w:r>
        <w:rPr>
          <w:rFonts w:ascii="Times New Roman" w:hAnsi="Times New Roman" w:cs="Times New Roman"/>
          <w:sz w:val="24"/>
          <w:szCs w:val="24"/>
        </w:rPr>
        <w:t>: BIST-KYD 1 Aylık Gösterge TL Mevduat Endeksi’dir.</w:t>
      </w:r>
    </w:p>
    <w:p w14:paraId="74CD0119" w14:textId="1636C77D" w:rsidR="005F5413" w:rsidRDefault="005F5413" w:rsidP="00032E31">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0333B4">
        <w:rPr>
          <w:rFonts w:ascii="Times New Roman" w:hAnsi="Times New Roman" w:cs="Times New Roman"/>
          <w:sz w:val="24"/>
          <w:szCs w:val="24"/>
        </w:rPr>
        <w:t>Enflasyon oranı T</w:t>
      </w:r>
      <w:r w:rsidR="0089387A">
        <w:rPr>
          <w:rFonts w:ascii="Times New Roman" w:hAnsi="Times New Roman" w:cs="Times New Roman"/>
          <w:sz w:val="24"/>
          <w:szCs w:val="24"/>
        </w:rPr>
        <w:t>Ü</w:t>
      </w:r>
      <w:r w:rsidR="000333B4">
        <w:rPr>
          <w:rFonts w:ascii="Times New Roman" w:hAnsi="Times New Roman" w:cs="Times New Roman"/>
          <w:sz w:val="24"/>
          <w:szCs w:val="24"/>
        </w:rPr>
        <w:t xml:space="preserve">İK tarafından açıklanan </w:t>
      </w:r>
      <w:r>
        <w:rPr>
          <w:rFonts w:ascii="Times New Roman" w:hAnsi="Times New Roman" w:cs="Times New Roman"/>
          <w:sz w:val="24"/>
          <w:szCs w:val="24"/>
        </w:rPr>
        <w:t>ÜFE</w:t>
      </w:r>
      <w:r w:rsidR="000333B4">
        <w:rPr>
          <w:rFonts w:ascii="Times New Roman" w:hAnsi="Times New Roman" w:cs="Times New Roman"/>
          <w:sz w:val="24"/>
          <w:szCs w:val="24"/>
        </w:rPr>
        <w:t xml:space="preserve">’nin dönemsel oranıdır. </w:t>
      </w:r>
    </w:p>
    <w:p w14:paraId="77B00355" w14:textId="42C42571" w:rsidR="00030329" w:rsidRDefault="005F5413" w:rsidP="00032E31">
      <w:pPr>
        <w:spacing w:after="0"/>
        <w:ind w:left="705" w:hanging="705"/>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Fon’un kurulduğu </w:t>
      </w:r>
      <w:r w:rsidR="006053F2">
        <w:rPr>
          <w:rFonts w:ascii="Times New Roman" w:hAnsi="Times New Roman" w:cs="Times New Roman"/>
          <w:sz w:val="24"/>
          <w:szCs w:val="24"/>
        </w:rPr>
        <w:t>01.01.202</w:t>
      </w:r>
      <w:r w:rsidR="0072414C">
        <w:rPr>
          <w:rFonts w:ascii="Times New Roman" w:hAnsi="Times New Roman" w:cs="Times New Roman"/>
          <w:sz w:val="24"/>
          <w:szCs w:val="24"/>
        </w:rPr>
        <w:t>4</w:t>
      </w:r>
      <w:r w:rsidR="0089387A">
        <w:rPr>
          <w:rFonts w:ascii="Times New Roman" w:hAnsi="Times New Roman" w:cs="Times New Roman"/>
          <w:sz w:val="24"/>
          <w:szCs w:val="24"/>
        </w:rPr>
        <w:t xml:space="preserve"> </w:t>
      </w:r>
      <w:r>
        <w:rPr>
          <w:rFonts w:ascii="Times New Roman" w:hAnsi="Times New Roman" w:cs="Times New Roman"/>
          <w:sz w:val="24"/>
          <w:szCs w:val="24"/>
        </w:rPr>
        <w:t xml:space="preserve">ile </w:t>
      </w:r>
      <w:r w:rsidR="00E21575">
        <w:rPr>
          <w:rFonts w:ascii="Times New Roman" w:hAnsi="Times New Roman" w:cs="Times New Roman"/>
          <w:sz w:val="24"/>
          <w:szCs w:val="24"/>
        </w:rPr>
        <w:t>3</w:t>
      </w:r>
      <w:r w:rsidR="00AD7652">
        <w:rPr>
          <w:rFonts w:ascii="Times New Roman" w:hAnsi="Times New Roman" w:cs="Times New Roman"/>
          <w:sz w:val="24"/>
          <w:szCs w:val="24"/>
        </w:rPr>
        <w:t>0</w:t>
      </w:r>
      <w:r w:rsidR="00E21575">
        <w:rPr>
          <w:rFonts w:ascii="Times New Roman" w:hAnsi="Times New Roman" w:cs="Times New Roman"/>
          <w:sz w:val="24"/>
          <w:szCs w:val="24"/>
        </w:rPr>
        <w:t>.</w:t>
      </w:r>
      <w:r w:rsidR="00AD7652">
        <w:rPr>
          <w:rFonts w:ascii="Times New Roman" w:hAnsi="Times New Roman" w:cs="Times New Roman"/>
          <w:sz w:val="24"/>
          <w:szCs w:val="24"/>
        </w:rPr>
        <w:t>06</w:t>
      </w:r>
      <w:r w:rsidR="006053F2">
        <w:rPr>
          <w:rFonts w:ascii="Times New Roman" w:hAnsi="Times New Roman" w:cs="Times New Roman"/>
          <w:sz w:val="24"/>
          <w:szCs w:val="24"/>
        </w:rPr>
        <w:t>.2023</w:t>
      </w:r>
      <w:r w:rsidR="0089387A">
        <w:rPr>
          <w:rFonts w:ascii="Times New Roman" w:hAnsi="Times New Roman" w:cs="Times New Roman"/>
          <w:sz w:val="24"/>
          <w:szCs w:val="24"/>
        </w:rPr>
        <w:t xml:space="preserve"> </w:t>
      </w:r>
      <w:r>
        <w:rPr>
          <w:rFonts w:ascii="Times New Roman" w:hAnsi="Times New Roman" w:cs="Times New Roman"/>
          <w:sz w:val="24"/>
          <w:szCs w:val="24"/>
        </w:rPr>
        <w:t>tarihleri arasındaki dönemi kapsamaktadır.</w:t>
      </w:r>
    </w:p>
    <w:p w14:paraId="69E1A96A" w14:textId="77777777" w:rsidR="00BC4211" w:rsidRDefault="00BC4211" w:rsidP="00032E31">
      <w:pPr>
        <w:spacing w:after="0"/>
        <w:ind w:left="705" w:hanging="705"/>
        <w:jc w:val="both"/>
        <w:rPr>
          <w:rFonts w:ascii="Times New Roman" w:hAnsi="Times New Roman" w:cs="Times New Roman"/>
          <w:sz w:val="24"/>
          <w:szCs w:val="24"/>
        </w:rPr>
      </w:pPr>
    </w:p>
    <w:p w14:paraId="112D3129" w14:textId="77777777" w:rsidR="00BC4211" w:rsidRPr="00A779B1" w:rsidRDefault="002E2517" w:rsidP="005F5413">
      <w:pPr>
        <w:spacing w:after="0"/>
        <w:ind w:left="705" w:hanging="705"/>
        <w:rPr>
          <w:rFonts w:ascii="Times New Roman" w:hAnsi="Times New Roman" w:cs="Times New Roman"/>
          <w:b/>
          <w:sz w:val="24"/>
          <w:szCs w:val="24"/>
          <w:u w:val="single"/>
        </w:rPr>
      </w:pPr>
      <w:r w:rsidRPr="00A779B1">
        <w:rPr>
          <w:rFonts w:ascii="Times New Roman" w:hAnsi="Times New Roman" w:cs="Times New Roman"/>
          <w:b/>
          <w:sz w:val="24"/>
          <w:szCs w:val="24"/>
          <w:u w:val="single"/>
          <w:shd w:val="clear" w:color="auto" w:fill="FFFFFF"/>
        </w:rPr>
        <w:t>Portföyün geçmiş performansı gelecek dönem performansı için bir gösterge olamaz.</w:t>
      </w:r>
    </w:p>
    <w:p w14:paraId="0DC3A9B8" w14:textId="77777777" w:rsidR="00106889" w:rsidRDefault="00106889" w:rsidP="005F5413">
      <w:pPr>
        <w:spacing w:after="0"/>
        <w:ind w:left="705" w:hanging="705"/>
        <w:rPr>
          <w:rFonts w:ascii="Times New Roman" w:hAnsi="Times New Roman" w:cs="Times New Roman"/>
          <w:sz w:val="24"/>
          <w:szCs w:val="24"/>
        </w:rPr>
      </w:pPr>
    </w:p>
    <w:p w14:paraId="2652B7AF" w14:textId="77777777" w:rsidR="006858ED" w:rsidRDefault="006858ED" w:rsidP="005F5413">
      <w:pPr>
        <w:spacing w:after="0"/>
        <w:ind w:left="705" w:hanging="705"/>
        <w:rPr>
          <w:rFonts w:ascii="Times New Roman" w:hAnsi="Times New Roman" w:cs="Times New Roman"/>
          <w:sz w:val="24"/>
          <w:szCs w:val="24"/>
        </w:rPr>
      </w:pPr>
    </w:p>
    <w:p w14:paraId="4E5D851F" w14:textId="323F9871" w:rsidR="006858ED" w:rsidRDefault="006858ED" w:rsidP="005F5413">
      <w:pPr>
        <w:spacing w:after="0"/>
        <w:ind w:left="705" w:hanging="705"/>
        <w:rPr>
          <w:rFonts w:ascii="Times New Roman" w:hAnsi="Times New Roman" w:cs="Times New Roman"/>
          <w:sz w:val="24"/>
          <w:szCs w:val="24"/>
        </w:rPr>
      </w:pPr>
    </w:p>
    <w:p w14:paraId="4CC7EC82" w14:textId="2CC91FAE" w:rsidR="00CE6762" w:rsidRDefault="00CE6762" w:rsidP="005F5413">
      <w:pPr>
        <w:spacing w:after="0"/>
        <w:ind w:left="705" w:hanging="705"/>
        <w:rPr>
          <w:rFonts w:ascii="Times New Roman" w:hAnsi="Times New Roman" w:cs="Times New Roman"/>
          <w:sz w:val="24"/>
          <w:szCs w:val="24"/>
        </w:rPr>
      </w:pPr>
    </w:p>
    <w:p w14:paraId="3AD111A1" w14:textId="019E28E8" w:rsidR="00CE6762" w:rsidRDefault="00CE6762" w:rsidP="005F5413">
      <w:pPr>
        <w:spacing w:after="0"/>
        <w:ind w:left="705" w:hanging="705"/>
        <w:rPr>
          <w:rFonts w:ascii="Times New Roman" w:hAnsi="Times New Roman" w:cs="Times New Roman"/>
          <w:sz w:val="24"/>
          <w:szCs w:val="24"/>
        </w:rPr>
      </w:pPr>
    </w:p>
    <w:p w14:paraId="2B93F079" w14:textId="657D2188" w:rsidR="00CE6762" w:rsidRDefault="00CE6762" w:rsidP="005F5413">
      <w:pPr>
        <w:spacing w:after="0"/>
        <w:ind w:left="705" w:hanging="705"/>
        <w:rPr>
          <w:rFonts w:ascii="Times New Roman" w:hAnsi="Times New Roman" w:cs="Times New Roman"/>
          <w:sz w:val="24"/>
          <w:szCs w:val="24"/>
        </w:rPr>
      </w:pPr>
    </w:p>
    <w:p w14:paraId="0C7C4001" w14:textId="77777777" w:rsidR="00CE6762" w:rsidRDefault="00CE6762" w:rsidP="005F5413">
      <w:pPr>
        <w:spacing w:after="0"/>
        <w:ind w:left="705" w:hanging="705"/>
        <w:rPr>
          <w:rFonts w:ascii="Times New Roman" w:hAnsi="Times New Roman" w:cs="Times New Roman"/>
          <w:sz w:val="24"/>
          <w:szCs w:val="24"/>
        </w:rPr>
      </w:pPr>
    </w:p>
    <w:p w14:paraId="586855A8" w14:textId="77777777" w:rsidR="00BC4211" w:rsidRDefault="00BC4211" w:rsidP="00BC4211">
      <w:pPr>
        <w:pStyle w:val="ListeParagraf"/>
        <w:numPr>
          <w:ilvl w:val="0"/>
          <w:numId w:val="1"/>
        </w:numPr>
        <w:spacing w:after="0"/>
        <w:rPr>
          <w:rFonts w:ascii="Times New Roman" w:hAnsi="Times New Roman" w:cs="Times New Roman"/>
          <w:b/>
          <w:sz w:val="24"/>
          <w:szCs w:val="24"/>
        </w:rPr>
      </w:pPr>
      <w:r w:rsidRPr="00BC4211">
        <w:rPr>
          <w:rFonts w:ascii="Times New Roman" w:hAnsi="Times New Roman" w:cs="Times New Roman"/>
          <w:b/>
          <w:sz w:val="24"/>
          <w:szCs w:val="24"/>
        </w:rPr>
        <w:t>DİPNOTLAR</w:t>
      </w:r>
    </w:p>
    <w:p w14:paraId="35AAFA9A" w14:textId="77777777" w:rsidR="00596C79" w:rsidRDefault="00596C79" w:rsidP="00596C79">
      <w:pPr>
        <w:pStyle w:val="ListeParagraf"/>
        <w:spacing w:after="0"/>
        <w:rPr>
          <w:rFonts w:ascii="Times New Roman" w:hAnsi="Times New Roman" w:cs="Times New Roman"/>
          <w:b/>
          <w:sz w:val="24"/>
          <w:szCs w:val="24"/>
        </w:rPr>
      </w:pPr>
    </w:p>
    <w:p w14:paraId="01C4929B" w14:textId="534F6C8E" w:rsidR="002B59FC" w:rsidRDefault="00D2502B" w:rsidP="002B59FC">
      <w:pPr>
        <w:pStyle w:val="ListeParagraf"/>
        <w:numPr>
          <w:ilvl w:val="0"/>
          <w:numId w:val="5"/>
        </w:numPr>
        <w:spacing w:after="0"/>
        <w:jc w:val="both"/>
        <w:rPr>
          <w:rFonts w:ascii="Times New Roman" w:hAnsi="Times New Roman" w:cs="Times New Roman"/>
          <w:sz w:val="24"/>
          <w:szCs w:val="24"/>
        </w:rPr>
      </w:pPr>
      <w:r w:rsidRPr="006C3B9B">
        <w:rPr>
          <w:rFonts w:ascii="Times New Roman" w:hAnsi="Times New Roman" w:cs="Times New Roman"/>
          <w:sz w:val="24"/>
          <w:szCs w:val="24"/>
        </w:rPr>
        <w:t xml:space="preserve"> </w:t>
      </w:r>
      <w:r w:rsidR="00FD0849">
        <w:rPr>
          <w:rFonts w:ascii="Times New Roman" w:eastAsia="Times New Roman" w:hAnsi="Times New Roman" w:cs="Times New Roman"/>
          <w:sz w:val="24"/>
          <w:szCs w:val="24"/>
        </w:rPr>
        <w:t>Fon’un kurucusu ve yöneticisi Hedef Portföy Yönetimi A.Ş.(“Şirket”)’</w:t>
      </w:r>
      <w:proofErr w:type="spellStart"/>
      <w:r w:rsidR="00FD0849">
        <w:rPr>
          <w:rFonts w:ascii="Times New Roman" w:eastAsia="Times New Roman" w:hAnsi="Times New Roman" w:cs="Times New Roman"/>
          <w:sz w:val="24"/>
          <w:szCs w:val="24"/>
        </w:rPr>
        <w:t>dir</w:t>
      </w:r>
      <w:proofErr w:type="spellEnd"/>
      <w:r w:rsidR="00FD0849">
        <w:rPr>
          <w:rFonts w:ascii="Times New Roman" w:eastAsia="Times New Roman" w:hAnsi="Times New Roman" w:cs="Times New Roman"/>
          <w:sz w:val="24"/>
          <w:szCs w:val="24"/>
        </w:rPr>
        <w:t xml:space="preserve">. Şirket 2012 yılında kurulmuş olup, yatırım fonları, yatırım ortaklıkları, özel ve tüzel kişilere mevzuat hükümleri çerçevesinde portföy yönetim hizmeti vermektedir. Halka arz olmuş ve toplam fon değeri 31,275,521,186.49 Türk </w:t>
      </w:r>
      <w:proofErr w:type="gramStart"/>
      <w:r w:rsidR="00FD0849">
        <w:rPr>
          <w:rFonts w:ascii="Times New Roman" w:eastAsia="Times New Roman" w:hAnsi="Times New Roman" w:cs="Times New Roman"/>
          <w:sz w:val="24"/>
          <w:szCs w:val="24"/>
        </w:rPr>
        <w:t>Lirası</w:t>
      </w:r>
      <w:proofErr w:type="gramEnd"/>
      <w:r w:rsidR="00FD0849">
        <w:rPr>
          <w:rFonts w:ascii="Times New Roman" w:eastAsia="Times New Roman" w:hAnsi="Times New Roman" w:cs="Times New Roman"/>
          <w:sz w:val="24"/>
          <w:szCs w:val="24"/>
        </w:rPr>
        <w:t xml:space="preserve"> olan otuz üç adet Serbest Fon, üç adet Hisse Senedi Fonu, bir adet Para Piyasası Fonu, bir adet Borçlanma Araçları Fonu, bir adet Değişken Fon, bir adet Altın Katılım Fonu ve on beş adet Girişim Sermayesi Yatırım Fonu, dört adet Gayrimenkul Yatırım Fonu bulunmaktadır.</w:t>
      </w:r>
    </w:p>
    <w:p w14:paraId="3158A6A1" w14:textId="6D38E580" w:rsidR="00596C79" w:rsidRPr="006C3B9B" w:rsidRDefault="00596C79" w:rsidP="002B59FC">
      <w:pPr>
        <w:pStyle w:val="ListeParagraf"/>
        <w:spacing w:after="0"/>
        <w:jc w:val="both"/>
        <w:rPr>
          <w:rFonts w:ascii="Times New Roman" w:hAnsi="Times New Roman" w:cs="Times New Roman"/>
          <w:sz w:val="24"/>
          <w:szCs w:val="24"/>
        </w:rPr>
      </w:pPr>
    </w:p>
    <w:p w14:paraId="30FD4DB9" w14:textId="77777777" w:rsidR="00596C79" w:rsidRPr="00BF54DE" w:rsidRDefault="00FF1215" w:rsidP="00596C79">
      <w:pPr>
        <w:pStyle w:val="ListeParagraf"/>
        <w:numPr>
          <w:ilvl w:val="0"/>
          <w:numId w:val="3"/>
        </w:numPr>
        <w:spacing w:after="0"/>
        <w:jc w:val="both"/>
        <w:rPr>
          <w:rFonts w:ascii="Times New Roman" w:hAnsi="Times New Roman" w:cs="Times New Roman"/>
          <w:sz w:val="24"/>
          <w:szCs w:val="24"/>
        </w:rPr>
      </w:pPr>
      <w:r w:rsidRPr="00BF54DE">
        <w:rPr>
          <w:rFonts w:ascii="Times New Roman" w:hAnsi="Times New Roman" w:cs="Times New Roman"/>
          <w:sz w:val="24"/>
          <w:szCs w:val="24"/>
        </w:rPr>
        <w:t>Fon portföyünün yatırım stratejisi ve yatırım amacına “A. Tanıtıcı Bilgiler” başlığında yer verilmiştir.</w:t>
      </w:r>
    </w:p>
    <w:p w14:paraId="009B86E1" w14:textId="77777777" w:rsidR="00596C79" w:rsidRDefault="00596C79" w:rsidP="00596C79">
      <w:pPr>
        <w:pStyle w:val="ListeParagraf"/>
        <w:spacing w:after="0"/>
        <w:jc w:val="both"/>
        <w:rPr>
          <w:rFonts w:ascii="Times New Roman" w:hAnsi="Times New Roman" w:cs="Times New Roman"/>
          <w:sz w:val="24"/>
          <w:szCs w:val="24"/>
        </w:rPr>
      </w:pPr>
    </w:p>
    <w:p w14:paraId="699222F4" w14:textId="2C9AE7C6" w:rsidR="00FF1215" w:rsidRDefault="00FF1215" w:rsidP="00032E31">
      <w:pPr>
        <w:pStyle w:val="ListeParagraf"/>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Fon</w:t>
      </w:r>
      <w:r w:rsidR="00ED76F3">
        <w:rPr>
          <w:rFonts w:ascii="Times New Roman" w:hAnsi="Times New Roman" w:cs="Times New Roman"/>
          <w:sz w:val="24"/>
          <w:szCs w:val="24"/>
        </w:rPr>
        <w:t>,</w:t>
      </w:r>
      <w:r>
        <w:rPr>
          <w:rFonts w:ascii="Times New Roman" w:hAnsi="Times New Roman" w:cs="Times New Roman"/>
          <w:sz w:val="24"/>
          <w:szCs w:val="24"/>
        </w:rPr>
        <w:t xml:space="preserve"> </w:t>
      </w:r>
      <w:r w:rsidR="00EE1C8B">
        <w:rPr>
          <w:rFonts w:ascii="Times New Roman" w:hAnsi="Times New Roman" w:cs="Times New Roman"/>
          <w:sz w:val="24"/>
          <w:szCs w:val="24"/>
        </w:rPr>
        <w:t>performans sunum</w:t>
      </w:r>
      <w:r>
        <w:rPr>
          <w:rFonts w:ascii="Times New Roman" w:hAnsi="Times New Roman" w:cs="Times New Roman"/>
          <w:sz w:val="24"/>
          <w:szCs w:val="24"/>
        </w:rPr>
        <w:t xml:space="preserve"> döneminde net </w:t>
      </w:r>
      <w:proofErr w:type="gramStart"/>
      <w:r w:rsidR="005A19EC">
        <w:rPr>
          <w:rFonts w:ascii="Times New Roman" w:hAnsi="Times New Roman" w:cs="Times New Roman"/>
          <w:sz w:val="24"/>
          <w:szCs w:val="24"/>
        </w:rPr>
        <w:t>%</w:t>
      </w:r>
      <w:r w:rsidR="006C1441">
        <w:rPr>
          <w:rFonts w:ascii="Times New Roman" w:hAnsi="Times New Roman" w:cs="Times New Roman"/>
          <w:sz w:val="24"/>
          <w:szCs w:val="24"/>
        </w:rPr>
        <w:t xml:space="preserve"> 27,61</w:t>
      </w:r>
      <w:proofErr w:type="gramEnd"/>
      <w:r w:rsidR="0089387A">
        <w:rPr>
          <w:rFonts w:ascii="Times New Roman" w:hAnsi="Times New Roman" w:cs="Times New Roman"/>
          <w:sz w:val="24"/>
          <w:szCs w:val="24"/>
        </w:rPr>
        <w:t xml:space="preserve"> </w:t>
      </w:r>
      <w:r w:rsidR="00237C1F">
        <w:rPr>
          <w:rFonts w:ascii="Times New Roman" w:hAnsi="Times New Roman" w:cs="Times New Roman"/>
          <w:sz w:val="24"/>
          <w:szCs w:val="24"/>
        </w:rPr>
        <w:t>k</w:t>
      </w:r>
      <w:r w:rsidR="00ED76F3">
        <w:rPr>
          <w:rFonts w:ascii="Times New Roman" w:hAnsi="Times New Roman" w:cs="Times New Roman"/>
          <w:sz w:val="24"/>
          <w:szCs w:val="24"/>
        </w:rPr>
        <w:t>ar et</w:t>
      </w:r>
      <w:r>
        <w:rPr>
          <w:rFonts w:ascii="Times New Roman" w:hAnsi="Times New Roman" w:cs="Times New Roman"/>
          <w:sz w:val="24"/>
          <w:szCs w:val="24"/>
        </w:rPr>
        <w:t>miştir.</w:t>
      </w:r>
    </w:p>
    <w:p w14:paraId="2653D3D8" w14:textId="77777777" w:rsidR="00596C79" w:rsidRDefault="00596C79" w:rsidP="00596C79">
      <w:pPr>
        <w:pStyle w:val="ListeParagraf"/>
        <w:spacing w:after="0"/>
        <w:jc w:val="both"/>
        <w:rPr>
          <w:rFonts w:ascii="Times New Roman" w:hAnsi="Times New Roman" w:cs="Times New Roman"/>
          <w:sz w:val="24"/>
          <w:szCs w:val="24"/>
        </w:rPr>
      </w:pPr>
    </w:p>
    <w:p w14:paraId="78F2C54E" w14:textId="77777777" w:rsidR="00ED76F3" w:rsidRDefault="00EE1C8B" w:rsidP="00032E31">
      <w:pPr>
        <w:pStyle w:val="ListeParagraf"/>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Performans sunum</w:t>
      </w:r>
      <w:r w:rsidR="00ED76F3">
        <w:rPr>
          <w:rFonts w:ascii="Times New Roman" w:hAnsi="Times New Roman" w:cs="Times New Roman"/>
          <w:sz w:val="24"/>
          <w:szCs w:val="24"/>
        </w:rPr>
        <w:t xml:space="preserve"> döneminde yönetim ücretleri, vergi, saklama ücretleri ve diğer faaliyet giderlerinin ortalama fon portföy değerine oranının ağırlıklı ortalaması aşağıdaki gibidir.</w:t>
      </w:r>
    </w:p>
    <w:tbl>
      <w:tblPr>
        <w:tblpPr w:leftFromText="141" w:rightFromText="141" w:vertAnchor="text" w:horzAnchor="margin" w:tblpXSpec="right" w:tblpY="166"/>
        <w:tblW w:w="8724" w:type="dxa"/>
        <w:tblCellMar>
          <w:left w:w="70" w:type="dxa"/>
          <w:right w:w="70" w:type="dxa"/>
        </w:tblCellMar>
        <w:tblLook w:val="04A0" w:firstRow="1" w:lastRow="0" w:firstColumn="1" w:lastColumn="0" w:noHBand="0" w:noVBand="1"/>
      </w:tblPr>
      <w:tblGrid>
        <w:gridCol w:w="3332"/>
        <w:gridCol w:w="2409"/>
        <w:gridCol w:w="2983"/>
      </w:tblGrid>
      <w:tr w:rsidR="007653BB" w:rsidRPr="007653BB" w14:paraId="38CD5CFB" w14:textId="77777777" w:rsidTr="007653BB">
        <w:trPr>
          <w:trHeight w:val="478"/>
        </w:trPr>
        <w:tc>
          <w:tcPr>
            <w:tcW w:w="3332"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78F0B4F" w14:textId="77777777" w:rsidR="007653BB" w:rsidRPr="007653BB" w:rsidRDefault="007653BB" w:rsidP="007653BB">
            <w:pPr>
              <w:spacing w:after="0" w:line="240" w:lineRule="auto"/>
              <w:jc w:val="center"/>
              <w:rPr>
                <w:rFonts w:ascii="Times New Roman" w:eastAsia="Times New Roman" w:hAnsi="Times New Roman" w:cs="Times New Roman"/>
                <w:b/>
                <w:bCs/>
                <w:color w:val="000000"/>
                <w:sz w:val="24"/>
                <w:szCs w:val="24"/>
                <w:lang w:eastAsia="tr-TR"/>
              </w:rPr>
            </w:pPr>
            <w:r w:rsidRPr="007653BB">
              <w:rPr>
                <w:rFonts w:ascii="Times New Roman" w:eastAsia="Times New Roman" w:hAnsi="Times New Roman" w:cs="Times New Roman"/>
                <w:b/>
                <w:bCs/>
                <w:color w:val="000000"/>
                <w:sz w:val="24"/>
                <w:szCs w:val="24"/>
                <w:lang w:eastAsia="tr-TR"/>
              </w:rPr>
              <w:t>Dönem Faaliyet Giderleri Dağılımı</w:t>
            </w:r>
          </w:p>
        </w:tc>
        <w:tc>
          <w:tcPr>
            <w:tcW w:w="2408" w:type="dxa"/>
            <w:tcBorders>
              <w:top w:val="single" w:sz="8" w:space="0" w:color="auto"/>
              <w:left w:val="nil"/>
              <w:bottom w:val="single" w:sz="4" w:space="0" w:color="auto"/>
              <w:right w:val="single" w:sz="4" w:space="0" w:color="auto"/>
            </w:tcBorders>
            <w:shd w:val="clear" w:color="auto" w:fill="auto"/>
            <w:vAlign w:val="center"/>
            <w:hideMark/>
          </w:tcPr>
          <w:p w14:paraId="45B1D078" w14:textId="77777777" w:rsidR="007653BB" w:rsidRPr="007653BB" w:rsidRDefault="007653BB" w:rsidP="007653BB">
            <w:pPr>
              <w:spacing w:after="0" w:line="240" w:lineRule="auto"/>
              <w:jc w:val="center"/>
              <w:rPr>
                <w:rFonts w:ascii="Times New Roman" w:eastAsia="Times New Roman" w:hAnsi="Times New Roman" w:cs="Times New Roman"/>
                <w:b/>
                <w:bCs/>
                <w:color w:val="000000"/>
                <w:sz w:val="24"/>
                <w:szCs w:val="24"/>
                <w:lang w:eastAsia="tr-TR"/>
              </w:rPr>
            </w:pPr>
            <w:r w:rsidRPr="007653BB">
              <w:rPr>
                <w:rFonts w:ascii="Times New Roman" w:eastAsia="Times New Roman" w:hAnsi="Times New Roman" w:cs="Times New Roman"/>
                <w:b/>
                <w:bCs/>
                <w:color w:val="000000"/>
                <w:sz w:val="24"/>
                <w:szCs w:val="24"/>
                <w:lang w:eastAsia="tr-TR"/>
              </w:rPr>
              <w:t>Portföy Değerine Oranı (%)</w:t>
            </w:r>
          </w:p>
        </w:tc>
        <w:tc>
          <w:tcPr>
            <w:tcW w:w="2983" w:type="dxa"/>
            <w:tcBorders>
              <w:top w:val="single" w:sz="8" w:space="0" w:color="auto"/>
              <w:left w:val="nil"/>
              <w:bottom w:val="single" w:sz="4" w:space="0" w:color="auto"/>
              <w:right w:val="single" w:sz="8" w:space="0" w:color="auto"/>
            </w:tcBorders>
            <w:shd w:val="clear" w:color="auto" w:fill="auto"/>
            <w:vAlign w:val="center"/>
            <w:hideMark/>
          </w:tcPr>
          <w:p w14:paraId="51976A14" w14:textId="77777777" w:rsidR="007653BB" w:rsidRPr="007653BB" w:rsidRDefault="007653BB" w:rsidP="007653BB">
            <w:pPr>
              <w:spacing w:after="0" w:line="240" w:lineRule="auto"/>
              <w:jc w:val="center"/>
              <w:rPr>
                <w:rFonts w:ascii="Times New Roman" w:eastAsia="Times New Roman" w:hAnsi="Times New Roman" w:cs="Times New Roman"/>
                <w:b/>
                <w:bCs/>
                <w:color w:val="000000"/>
                <w:sz w:val="24"/>
                <w:szCs w:val="24"/>
                <w:lang w:eastAsia="tr-TR"/>
              </w:rPr>
            </w:pPr>
            <w:r w:rsidRPr="007653BB">
              <w:rPr>
                <w:rFonts w:ascii="Times New Roman" w:eastAsia="Times New Roman" w:hAnsi="Times New Roman" w:cs="Times New Roman"/>
                <w:b/>
                <w:bCs/>
                <w:color w:val="000000"/>
                <w:sz w:val="24"/>
                <w:szCs w:val="24"/>
                <w:lang w:eastAsia="tr-TR"/>
              </w:rPr>
              <w:t>Tutar (TL)</w:t>
            </w:r>
          </w:p>
        </w:tc>
      </w:tr>
      <w:tr w:rsidR="007653BB" w:rsidRPr="007653BB" w14:paraId="3E3894F7" w14:textId="77777777" w:rsidTr="007653BB">
        <w:trPr>
          <w:trHeight w:val="239"/>
        </w:trPr>
        <w:tc>
          <w:tcPr>
            <w:tcW w:w="3332" w:type="dxa"/>
            <w:tcBorders>
              <w:top w:val="nil"/>
              <w:left w:val="single" w:sz="8" w:space="0" w:color="auto"/>
              <w:bottom w:val="single" w:sz="4" w:space="0" w:color="auto"/>
              <w:right w:val="single" w:sz="4" w:space="0" w:color="auto"/>
            </w:tcBorders>
            <w:shd w:val="clear" w:color="auto" w:fill="auto"/>
            <w:noWrap/>
            <w:vAlign w:val="center"/>
            <w:hideMark/>
          </w:tcPr>
          <w:p w14:paraId="3974C93F" w14:textId="77777777" w:rsidR="007653BB" w:rsidRPr="007653BB" w:rsidRDefault="007653BB" w:rsidP="007653BB">
            <w:pPr>
              <w:spacing w:after="0" w:line="240" w:lineRule="auto"/>
              <w:rPr>
                <w:rFonts w:ascii="Times New Roman" w:eastAsia="Times New Roman" w:hAnsi="Times New Roman" w:cs="Times New Roman"/>
                <w:color w:val="000000"/>
                <w:sz w:val="24"/>
                <w:szCs w:val="24"/>
                <w:lang w:eastAsia="tr-TR"/>
              </w:rPr>
            </w:pPr>
            <w:r w:rsidRPr="007653BB">
              <w:rPr>
                <w:rFonts w:ascii="Times New Roman" w:eastAsia="Times New Roman" w:hAnsi="Times New Roman" w:cs="Times New Roman"/>
                <w:color w:val="000000"/>
                <w:sz w:val="24"/>
                <w:szCs w:val="24"/>
                <w:lang w:eastAsia="tr-TR"/>
              </w:rPr>
              <w:t>Yönetim Ücreti</w:t>
            </w:r>
          </w:p>
        </w:tc>
        <w:tc>
          <w:tcPr>
            <w:tcW w:w="2408" w:type="dxa"/>
            <w:tcBorders>
              <w:top w:val="nil"/>
              <w:left w:val="nil"/>
              <w:bottom w:val="single" w:sz="4" w:space="0" w:color="auto"/>
              <w:right w:val="single" w:sz="8" w:space="0" w:color="auto"/>
            </w:tcBorders>
            <w:shd w:val="clear" w:color="auto" w:fill="auto"/>
            <w:noWrap/>
            <w:vAlign w:val="center"/>
            <w:hideMark/>
          </w:tcPr>
          <w:p w14:paraId="50595B57" w14:textId="77777777" w:rsidR="007653BB" w:rsidRPr="007653BB" w:rsidRDefault="007653BB" w:rsidP="007653BB">
            <w:pPr>
              <w:spacing w:after="0" w:line="240" w:lineRule="auto"/>
              <w:jc w:val="center"/>
              <w:rPr>
                <w:rFonts w:ascii="Times New Roman" w:eastAsia="Times New Roman" w:hAnsi="Times New Roman" w:cs="Times New Roman"/>
                <w:color w:val="000000"/>
                <w:sz w:val="24"/>
                <w:szCs w:val="24"/>
                <w:lang w:eastAsia="tr-TR"/>
              </w:rPr>
            </w:pPr>
            <w:r w:rsidRPr="007653BB">
              <w:rPr>
                <w:rFonts w:ascii="Times New Roman" w:eastAsia="Times New Roman" w:hAnsi="Times New Roman" w:cs="Times New Roman"/>
                <w:color w:val="000000"/>
                <w:sz w:val="24"/>
                <w:szCs w:val="24"/>
                <w:lang w:eastAsia="tr-TR"/>
              </w:rPr>
              <w:t>1.12</w:t>
            </w:r>
          </w:p>
        </w:tc>
        <w:tc>
          <w:tcPr>
            <w:tcW w:w="2983" w:type="dxa"/>
            <w:tcBorders>
              <w:top w:val="nil"/>
              <w:left w:val="single" w:sz="4" w:space="0" w:color="auto"/>
              <w:bottom w:val="single" w:sz="4" w:space="0" w:color="auto"/>
              <w:right w:val="single" w:sz="8" w:space="0" w:color="auto"/>
            </w:tcBorders>
            <w:shd w:val="clear" w:color="auto" w:fill="auto"/>
            <w:noWrap/>
            <w:vAlign w:val="center"/>
            <w:hideMark/>
          </w:tcPr>
          <w:p w14:paraId="0F11F033" w14:textId="77777777" w:rsidR="007653BB" w:rsidRPr="007653BB" w:rsidRDefault="007653BB" w:rsidP="007653BB">
            <w:pPr>
              <w:spacing w:after="0" w:line="240" w:lineRule="auto"/>
              <w:jc w:val="center"/>
              <w:rPr>
                <w:rFonts w:ascii="Times New Roman" w:eastAsia="Times New Roman" w:hAnsi="Times New Roman" w:cs="Times New Roman"/>
                <w:color w:val="000000"/>
                <w:sz w:val="24"/>
                <w:szCs w:val="24"/>
                <w:lang w:eastAsia="tr-TR"/>
              </w:rPr>
            </w:pPr>
            <w:r w:rsidRPr="007653BB">
              <w:rPr>
                <w:rFonts w:ascii="Times New Roman" w:eastAsia="Times New Roman" w:hAnsi="Times New Roman" w:cs="Times New Roman"/>
                <w:color w:val="000000"/>
                <w:sz w:val="24"/>
                <w:szCs w:val="24"/>
                <w:lang w:eastAsia="tr-TR"/>
              </w:rPr>
              <w:t>977,598.14</w:t>
            </w:r>
          </w:p>
        </w:tc>
      </w:tr>
      <w:tr w:rsidR="007653BB" w:rsidRPr="007653BB" w14:paraId="3E85496D" w14:textId="77777777" w:rsidTr="007653BB">
        <w:trPr>
          <w:trHeight w:val="239"/>
        </w:trPr>
        <w:tc>
          <w:tcPr>
            <w:tcW w:w="3332" w:type="dxa"/>
            <w:tcBorders>
              <w:top w:val="nil"/>
              <w:left w:val="single" w:sz="8" w:space="0" w:color="auto"/>
              <w:bottom w:val="single" w:sz="4" w:space="0" w:color="auto"/>
              <w:right w:val="single" w:sz="4" w:space="0" w:color="auto"/>
            </w:tcBorders>
            <w:shd w:val="clear" w:color="auto" w:fill="auto"/>
            <w:noWrap/>
            <w:vAlign w:val="center"/>
            <w:hideMark/>
          </w:tcPr>
          <w:p w14:paraId="1BB7A9AA" w14:textId="77777777" w:rsidR="007653BB" w:rsidRPr="007653BB" w:rsidRDefault="007653BB" w:rsidP="007653BB">
            <w:pPr>
              <w:spacing w:after="0" w:line="240" w:lineRule="auto"/>
              <w:rPr>
                <w:rFonts w:ascii="Times New Roman" w:eastAsia="Times New Roman" w:hAnsi="Times New Roman" w:cs="Times New Roman"/>
                <w:color w:val="000000"/>
                <w:sz w:val="24"/>
                <w:szCs w:val="24"/>
                <w:lang w:eastAsia="tr-TR"/>
              </w:rPr>
            </w:pPr>
            <w:r w:rsidRPr="007653BB">
              <w:rPr>
                <w:rFonts w:ascii="Times New Roman" w:eastAsia="Times New Roman" w:hAnsi="Times New Roman" w:cs="Times New Roman"/>
                <w:color w:val="000000"/>
                <w:sz w:val="24"/>
                <w:szCs w:val="24"/>
                <w:lang w:eastAsia="tr-TR"/>
              </w:rPr>
              <w:t>Komisyon ve Diğer İşlem Ücretleri</w:t>
            </w:r>
          </w:p>
        </w:tc>
        <w:tc>
          <w:tcPr>
            <w:tcW w:w="2408" w:type="dxa"/>
            <w:tcBorders>
              <w:top w:val="nil"/>
              <w:left w:val="nil"/>
              <w:bottom w:val="single" w:sz="4" w:space="0" w:color="auto"/>
              <w:right w:val="single" w:sz="8" w:space="0" w:color="auto"/>
            </w:tcBorders>
            <w:shd w:val="clear" w:color="auto" w:fill="auto"/>
            <w:noWrap/>
            <w:vAlign w:val="center"/>
            <w:hideMark/>
          </w:tcPr>
          <w:p w14:paraId="6FF4A1BE" w14:textId="77777777" w:rsidR="007653BB" w:rsidRPr="007653BB" w:rsidRDefault="007653BB" w:rsidP="007653BB">
            <w:pPr>
              <w:spacing w:after="0" w:line="240" w:lineRule="auto"/>
              <w:jc w:val="center"/>
              <w:rPr>
                <w:rFonts w:ascii="Times New Roman" w:eastAsia="Times New Roman" w:hAnsi="Times New Roman" w:cs="Times New Roman"/>
                <w:color w:val="000000"/>
                <w:sz w:val="24"/>
                <w:szCs w:val="24"/>
                <w:lang w:eastAsia="tr-TR"/>
              </w:rPr>
            </w:pPr>
            <w:r w:rsidRPr="007653BB">
              <w:rPr>
                <w:rFonts w:ascii="Times New Roman" w:eastAsia="Times New Roman" w:hAnsi="Times New Roman" w:cs="Times New Roman"/>
                <w:color w:val="000000"/>
                <w:sz w:val="24"/>
                <w:szCs w:val="24"/>
                <w:lang w:eastAsia="tr-TR"/>
              </w:rPr>
              <w:t>0.30</w:t>
            </w:r>
          </w:p>
        </w:tc>
        <w:tc>
          <w:tcPr>
            <w:tcW w:w="2983" w:type="dxa"/>
            <w:tcBorders>
              <w:top w:val="nil"/>
              <w:left w:val="single" w:sz="4" w:space="0" w:color="auto"/>
              <w:bottom w:val="single" w:sz="4" w:space="0" w:color="auto"/>
              <w:right w:val="single" w:sz="8" w:space="0" w:color="auto"/>
            </w:tcBorders>
            <w:shd w:val="clear" w:color="auto" w:fill="auto"/>
            <w:noWrap/>
            <w:vAlign w:val="center"/>
            <w:hideMark/>
          </w:tcPr>
          <w:p w14:paraId="16EDDEB3" w14:textId="77777777" w:rsidR="007653BB" w:rsidRPr="007653BB" w:rsidRDefault="007653BB" w:rsidP="007653BB">
            <w:pPr>
              <w:spacing w:after="0" w:line="240" w:lineRule="auto"/>
              <w:jc w:val="center"/>
              <w:rPr>
                <w:rFonts w:ascii="Times New Roman" w:eastAsia="Times New Roman" w:hAnsi="Times New Roman" w:cs="Times New Roman"/>
                <w:color w:val="000000"/>
                <w:sz w:val="24"/>
                <w:szCs w:val="24"/>
                <w:lang w:eastAsia="tr-TR"/>
              </w:rPr>
            </w:pPr>
            <w:r w:rsidRPr="007653BB">
              <w:rPr>
                <w:rFonts w:ascii="Times New Roman" w:eastAsia="Times New Roman" w:hAnsi="Times New Roman" w:cs="Times New Roman"/>
                <w:color w:val="000000"/>
                <w:sz w:val="24"/>
                <w:szCs w:val="24"/>
                <w:lang w:eastAsia="tr-TR"/>
              </w:rPr>
              <w:t>258,205.27</w:t>
            </w:r>
          </w:p>
        </w:tc>
      </w:tr>
      <w:tr w:rsidR="007653BB" w:rsidRPr="007653BB" w14:paraId="271A4773" w14:textId="77777777" w:rsidTr="007653BB">
        <w:trPr>
          <w:trHeight w:val="239"/>
        </w:trPr>
        <w:tc>
          <w:tcPr>
            <w:tcW w:w="3332" w:type="dxa"/>
            <w:tcBorders>
              <w:top w:val="nil"/>
              <w:left w:val="single" w:sz="8" w:space="0" w:color="auto"/>
              <w:bottom w:val="single" w:sz="4" w:space="0" w:color="auto"/>
              <w:right w:val="single" w:sz="4" w:space="0" w:color="auto"/>
            </w:tcBorders>
            <w:shd w:val="clear" w:color="auto" w:fill="auto"/>
            <w:noWrap/>
            <w:vAlign w:val="center"/>
            <w:hideMark/>
          </w:tcPr>
          <w:p w14:paraId="1A5EB09E" w14:textId="77777777" w:rsidR="007653BB" w:rsidRPr="007653BB" w:rsidRDefault="007653BB" w:rsidP="007653BB">
            <w:pPr>
              <w:spacing w:after="0" w:line="240" w:lineRule="auto"/>
              <w:rPr>
                <w:rFonts w:ascii="Times New Roman" w:eastAsia="Times New Roman" w:hAnsi="Times New Roman" w:cs="Times New Roman"/>
                <w:color w:val="000000"/>
                <w:sz w:val="24"/>
                <w:szCs w:val="24"/>
                <w:lang w:eastAsia="tr-TR"/>
              </w:rPr>
            </w:pPr>
            <w:r w:rsidRPr="007653BB">
              <w:rPr>
                <w:rFonts w:ascii="Times New Roman" w:eastAsia="Times New Roman" w:hAnsi="Times New Roman" w:cs="Times New Roman"/>
                <w:color w:val="000000"/>
                <w:sz w:val="24"/>
                <w:szCs w:val="24"/>
                <w:lang w:eastAsia="tr-TR"/>
              </w:rPr>
              <w:t>Saklama Ücreti</w:t>
            </w:r>
          </w:p>
        </w:tc>
        <w:tc>
          <w:tcPr>
            <w:tcW w:w="2408" w:type="dxa"/>
            <w:tcBorders>
              <w:top w:val="nil"/>
              <w:left w:val="nil"/>
              <w:bottom w:val="single" w:sz="4" w:space="0" w:color="auto"/>
              <w:right w:val="single" w:sz="8" w:space="0" w:color="auto"/>
            </w:tcBorders>
            <w:shd w:val="clear" w:color="auto" w:fill="auto"/>
            <w:noWrap/>
            <w:vAlign w:val="center"/>
            <w:hideMark/>
          </w:tcPr>
          <w:p w14:paraId="3DAA64F5" w14:textId="77777777" w:rsidR="007653BB" w:rsidRPr="007653BB" w:rsidRDefault="007653BB" w:rsidP="007653BB">
            <w:pPr>
              <w:spacing w:after="0" w:line="240" w:lineRule="auto"/>
              <w:jc w:val="center"/>
              <w:rPr>
                <w:rFonts w:ascii="Times New Roman" w:eastAsia="Times New Roman" w:hAnsi="Times New Roman" w:cs="Times New Roman"/>
                <w:color w:val="000000"/>
                <w:sz w:val="24"/>
                <w:szCs w:val="24"/>
                <w:lang w:eastAsia="tr-TR"/>
              </w:rPr>
            </w:pPr>
            <w:r w:rsidRPr="007653BB">
              <w:rPr>
                <w:rFonts w:ascii="Times New Roman" w:eastAsia="Times New Roman" w:hAnsi="Times New Roman" w:cs="Times New Roman"/>
                <w:color w:val="000000"/>
                <w:sz w:val="24"/>
                <w:szCs w:val="24"/>
                <w:lang w:eastAsia="tr-TR"/>
              </w:rPr>
              <w:t>0.16</w:t>
            </w:r>
          </w:p>
        </w:tc>
        <w:tc>
          <w:tcPr>
            <w:tcW w:w="2983" w:type="dxa"/>
            <w:tcBorders>
              <w:top w:val="nil"/>
              <w:left w:val="single" w:sz="4" w:space="0" w:color="auto"/>
              <w:bottom w:val="single" w:sz="4" w:space="0" w:color="auto"/>
              <w:right w:val="single" w:sz="8" w:space="0" w:color="auto"/>
            </w:tcBorders>
            <w:shd w:val="clear" w:color="auto" w:fill="auto"/>
            <w:noWrap/>
            <w:vAlign w:val="center"/>
            <w:hideMark/>
          </w:tcPr>
          <w:p w14:paraId="4CEFD063" w14:textId="77777777" w:rsidR="007653BB" w:rsidRPr="007653BB" w:rsidRDefault="007653BB" w:rsidP="007653BB">
            <w:pPr>
              <w:spacing w:after="0" w:line="240" w:lineRule="auto"/>
              <w:jc w:val="center"/>
              <w:rPr>
                <w:rFonts w:ascii="Times New Roman" w:eastAsia="Times New Roman" w:hAnsi="Times New Roman" w:cs="Times New Roman"/>
                <w:color w:val="000000"/>
                <w:sz w:val="24"/>
                <w:szCs w:val="24"/>
                <w:lang w:eastAsia="tr-TR"/>
              </w:rPr>
            </w:pPr>
            <w:r w:rsidRPr="007653BB">
              <w:rPr>
                <w:rFonts w:ascii="Times New Roman" w:eastAsia="Times New Roman" w:hAnsi="Times New Roman" w:cs="Times New Roman"/>
                <w:color w:val="000000"/>
                <w:sz w:val="24"/>
                <w:szCs w:val="24"/>
                <w:lang w:eastAsia="tr-TR"/>
              </w:rPr>
              <w:t>136,430.17</w:t>
            </w:r>
          </w:p>
        </w:tc>
      </w:tr>
      <w:tr w:rsidR="007653BB" w:rsidRPr="007653BB" w14:paraId="714417AA" w14:textId="77777777" w:rsidTr="007653BB">
        <w:trPr>
          <w:trHeight w:val="239"/>
        </w:trPr>
        <w:tc>
          <w:tcPr>
            <w:tcW w:w="3332" w:type="dxa"/>
            <w:tcBorders>
              <w:top w:val="nil"/>
              <w:left w:val="single" w:sz="8" w:space="0" w:color="auto"/>
              <w:bottom w:val="single" w:sz="4" w:space="0" w:color="auto"/>
              <w:right w:val="single" w:sz="4" w:space="0" w:color="auto"/>
            </w:tcBorders>
            <w:shd w:val="clear" w:color="auto" w:fill="auto"/>
            <w:noWrap/>
            <w:vAlign w:val="center"/>
            <w:hideMark/>
          </w:tcPr>
          <w:p w14:paraId="3633C651" w14:textId="77777777" w:rsidR="007653BB" w:rsidRPr="007653BB" w:rsidRDefault="007653BB" w:rsidP="007653BB">
            <w:pPr>
              <w:spacing w:after="0" w:line="240" w:lineRule="auto"/>
              <w:rPr>
                <w:rFonts w:ascii="Times New Roman" w:eastAsia="Times New Roman" w:hAnsi="Times New Roman" w:cs="Times New Roman"/>
                <w:color w:val="000000"/>
                <w:sz w:val="24"/>
                <w:szCs w:val="24"/>
                <w:lang w:eastAsia="tr-TR"/>
              </w:rPr>
            </w:pPr>
            <w:r w:rsidRPr="007653BB">
              <w:rPr>
                <w:rFonts w:ascii="Times New Roman" w:eastAsia="Times New Roman" w:hAnsi="Times New Roman" w:cs="Times New Roman"/>
                <w:color w:val="000000"/>
                <w:sz w:val="24"/>
                <w:szCs w:val="24"/>
                <w:lang w:eastAsia="tr-TR"/>
              </w:rPr>
              <w:t>Kurul Ücretleri</w:t>
            </w:r>
          </w:p>
        </w:tc>
        <w:tc>
          <w:tcPr>
            <w:tcW w:w="2408" w:type="dxa"/>
            <w:tcBorders>
              <w:top w:val="nil"/>
              <w:left w:val="nil"/>
              <w:bottom w:val="single" w:sz="4" w:space="0" w:color="auto"/>
              <w:right w:val="single" w:sz="8" w:space="0" w:color="auto"/>
            </w:tcBorders>
            <w:shd w:val="clear" w:color="auto" w:fill="auto"/>
            <w:noWrap/>
            <w:vAlign w:val="center"/>
            <w:hideMark/>
          </w:tcPr>
          <w:p w14:paraId="7B4BEC76" w14:textId="77777777" w:rsidR="007653BB" w:rsidRPr="007653BB" w:rsidRDefault="007653BB" w:rsidP="007653BB">
            <w:pPr>
              <w:spacing w:after="0" w:line="240" w:lineRule="auto"/>
              <w:jc w:val="center"/>
              <w:rPr>
                <w:rFonts w:ascii="Times New Roman" w:eastAsia="Times New Roman" w:hAnsi="Times New Roman" w:cs="Times New Roman"/>
                <w:color w:val="000000"/>
                <w:sz w:val="24"/>
                <w:szCs w:val="24"/>
                <w:lang w:eastAsia="tr-TR"/>
              </w:rPr>
            </w:pPr>
            <w:r w:rsidRPr="007653BB">
              <w:rPr>
                <w:rFonts w:ascii="Times New Roman" w:eastAsia="Times New Roman" w:hAnsi="Times New Roman" w:cs="Times New Roman"/>
                <w:color w:val="000000"/>
                <w:sz w:val="24"/>
                <w:szCs w:val="24"/>
                <w:lang w:eastAsia="tr-TR"/>
              </w:rPr>
              <w:t>0.01</w:t>
            </w:r>
          </w:p>
        </w:tc>
        <w:tc>
          <w:tcPr>
            <w:tcW w:w="2983" w:type="dxa"/>
            <w:tcBorders>
              <w:top w:val="nil"/>
              <w:left w:val="single" w:sz="4" w:space="0" w:color="auto"/>
              <w:bottom w:val="single" w:sz="4" w:space="0" w:color="auto"/>
              <w:right w:val="single" w:sz="8" w:space="0" w:color="auto"/>
            </w:tcBorders>
            <w:shd w:val="clear" w:color="auto" w:fill="auto"/>
            <w:noWrap/>
            <w:vAlign w:val="center"/>
            <w:hideMark/>
          </w:tcPr>
          <w:p w14:paraId="2ABB5F4F" w14:textId="77777777" w:rsidR="007653BB" w:rsidRPr="007653BB" w:rsidRDefault="007653BB" w:rsidP="007653BB">
            <w:pPr>
              <w:spacing w:after="0" w:line="240" w:lineRule="auto"/>
              <w:jc w:val="center"/>
              <w:rPr>
                <w:rFonts w:ascii="Times New Roman" w:eastAsia="Times New Roman" w:hAnsi="Times New Roman" w:cs="Times New Roman"/>
                <w:color w:val="000000"/>
                <w:sz w:val="24"/>
                <w:szCs w:val="24"/>
                <w:lang w:eastAsia="tr-TR"/>
              </w:rPr>
            </w:pPr>
            <w:r w:rsidRPr="007653BB">
              <w:rPr>
                <w:rFonts w:ascii="Times New Roman" w:eastAsia="Times New Roman" w:hAnsi="Times New Roman" w:cs="Times New Roman"/>
                <w:color w:val="000000"/>
                <w:sz w:val="24"/>
                <w:szCs w:val="24"/>
                <w:lang w:eastAsia="tr-TR"/>
              </w:rPr>
              <w:t>11,109.37</w:t>
            </w:r>
          </w:p>
        </w:tc>
      </w:tr>
      <w:tr w:rsidR="007653BB" w:rsidRPr="007653BB" w14:paraId="6AD2C6E0" w14:textId="77777777" w:rsidTr="007653BB">
        <w:trPr>
          <w:trHeight w:val="239"/>
        </w:trPr>
        <w:tc>
          <w:tcPr>
            <w:tcW w:w="3332" w:type="dxa"/>
            <w:tcBorders>
              <w:top w:val="nil"/>
              <w:left w:val="single" w:sz="8" w:space="0" w:color="auto"/>
              <w:bottom w:val="single" w:sz="4" w:space="0" w:color="auto"/>
              <w:right w:val="single" w:sz="4" w:space="0" w:color="auto"/>
            </w:tcBorders>
            <w:shd w:val="clear" w:color="auto" w:fill="auto"/>
            <w:noWrap/>
            <w:vAlign w:val="center"/>
            <w:hideMark/>
          </w:tcPr>
          <w:p w14:paraId="5C4CB6EA" w14:textId="77777777" w:rsidR="007653BB" w:rsidRPr="007653BB" w:rsidRDefault="007653BB" w:rsidP="007653BB">
            <w:pPr>
              <w:spacing w:after="0" w:line="240" w:lineRule="auto"/>
              <w:rPr>
                <w:rFonts w:ascii="Times New Roman" w:eastAsia="Times New Roman" w:hAnsi="Times New Roman" w:cs="Times New Roman"/>
                <w:color w:val="000000"/>
                <w:sz w:val="24"/>
                <w:szCs w:val="24"/>
                <w:lang w:eastAsia="tr-TR"/>
              </w:rPr>
            </w:pPr>
            <w:r w:rsidRPr="007653BB">
              <w:rPr>
                <w:rFonts w:ascii="Times New Roman" w:eastAsia="Times New Roman" w:hAnsi="Times New Roman" w:cs="Times New Roman"/>
                <w:color w:val="000000"/>
                <w:sz w:val="24"/>
                <w:szCs w:val="24"/>
                <w:lang w:eastAsia="tr-TR"/>
              </w:rPr>
              <w:t>Bağımsız Denetim Ücreti</w:t>
            </w:r>
          </w:p>
        </w:tc>
        <w:tc>
          <w:tcPr>
            <w:tcW w:w="2408" w:type="dxa"/>
            <w:tcBorders>
              <w:top w:val="nil"/>
              <w:left w:val="nil"/>
              <w:bottom w:val="single" w:sz="4" w:space="0" w:color="auto"/>
              <w:right w:val="single" w:sz="8" w:space="0" w:color="auto"/>
            </w:tcBorders>
            <w:shd w:val="clear" w:color="auto" w:fill="auto"/>
            <w:noWrap/>
            <w:vAlign w:val="center"/>
            <w:hideMark/>
          </w:tcPr>
          <w:p w14:paraId="0612070D" w14:textId="77777777" w:rsidR="007653BB" w:rsidRPr="007653BB" w:rsidRDefault="007653BB" w:rsidP="007653BB">
            <w:pPr>
              <w:spacing w:after="0" w:line="240" w:lineRule="auto"/>
              <w:jc w:val="center"/>
              <w:rPr>
                <w:rFonts w:ascii="Times New Roman" w:eastAsia="Times New Roman" w:hAnsi="Times New Roman" w:cs="Times New Roman"/>
                <w:color w:val="000000"/>
                <w:sz w:val="24"/>
                <w:szCs w:val="24"/>
                <w:lang w:eastAsia="tr-TR"/>
              </w:rPr>
            </w:pPr>
            <w:r w:rsidRPr="007653BB">
              <w:rPr>
                <w:rFonts w:ascii="Times New Roman" w:eastAsia="Times New Roman" w:hAnsi="Times New Roman" w:cs="Times New Roman"/>
                <w:color w:val="000000"/>
                <w:sz w:val="24"/>
                <w:szCs w:val="24"/>
                <w:lang w:eastAsia="tr-TR"/>
              </w:rPr>
              <w:t>0.01</w:t>
            </w:r>
          </w:p>
        </w:tc>
        <w:tc>
          <w:tcPr>
            <w:tcW w:w="2983" w:type="dxa"/>
            <w:tcBorders>
              <w:top w:val="nil"/>
              <w:left w:val="single" w:sz="4" w:space="0" w:color="auto"/>
              <w:bottom w:val="single" w:sz="4" w:space="0" w:color="auto"/>
              <w:right w:val="single" w:sz="8" w:space="0" w:color="auto"/>
            </w:tcBorders>
            <w:shd w:val="clear" w:color="auto" w:fill="auto"/>
            <w:noWrap/>
            <w:vAlign w:val="center"/>
            <w:hideMark/>
          </w:tcPr>
          <w:p w14:paraId="7CA5419B" w14:textId="77777777" w:rsidR="007653BB" w:rsidRPr="007653BB" w:rsidRDefault="007653BB" w:rsidP="007653BB">
            <w:pPr>
              <w:spacing w:after="0" w:line="240" w:lineRule="auto"/>
              <w:jc w:val="center"/>
              <w:rPr>
                <w:rFonts w:ascii="Times New Roman" w:eastAsia="Times New Roman" w:hAnsi="Times New Roman" w:cs="Times New Roman"/>
                <w:color w:val="000000"/>
                <w:sz w:val="24"/>
                <w:szCs w:val="24"/>
                <w:lang w:eastAsia="tr-TR"/>
              </w:rPr>
            </w:pPr>
            <w:r w:rsidRPr="007653BB">
              <w:rPr>
                <w:rFonts w:ascii="Times New Roman" w:eastAsia="Times New Roman" w:hAnsi="Times New Roman" w:cs="Times New Roman"/>
                <w:color w:val="000000"/>
                <w:sz w:val="24"/>
                <w:szCs w:val="24"/>
                <w:lang w:eastAsia="tr-TR"/>
              </w:rPr>
              <w:t>10,507.05</w:t>
            </w:r>
          </w:p>
        </w:tc>
      </w:tr>
      <w:tr w:rsidR="007653BB" w:rsidRPr="007653BB" w14:paraId="5723EBD3" w14:textId="77777777" w:rsidTr="007653BB">
        <w:trPr>
          <w:trHeight w:val="239"/>
        </w:trPr>
        <w:tc>
          <w:tcPr>
            <w:tcW w:w="3332" w:type="dxa"/>
            <w:tcBorders>
              <w:top w:val="nil"/>
              <w:left w:val="single" w:sz="8" w:space="0" w:color="auto"/>
              <w:bottom w:val="single" w:sz="4" w:space="0" w:color="auto"/>
              <w:right w:val="single" w:sz="4" w:space="0" w:color="auto"/>
            </w:tcBorders>
            <w:shd w:val="clear" w:color="auto" w:fill="auto"/>
            <w:noWrap/>
            <w:vAlign w:val="center"/>
            <w:hideMark/>
          </w:tcPr>
          <w:p w14:paraId="33246B0C" w14:textId="77777777" w:rsidR="007653BB" w:rsidRPr="007653BB" w:rsidRDefault="007653BB" w:rsidP="007653BB">
            <w:pPr>
              <w:spacing w:after="0" w:line="240" w:lineRule="auto"/>
              <w:rPr>
                <w:rFonts w:ascii="Times New Roman" w:eastAsia="Times New Roman" w:hAnsi="Times New Roman" w:cs="Times New Roman"/>
                <w:color w:val="000000"/>
                <w:sz w:val="24"/>
                <w:szCs w:val="24"/>
                <w:lang w:eastAsia="tr-TR"/>
              </w:rPr>
            </w:pPr>
            <w:r w:rsidRPr="007653BB">
              <w:rPr>
                <w:rFonts w:ascii="Times New Roman" w:eastAsia="Times New Roman" w:hAnsi="Times New Roman" w:cs="Times New Roman"/>
                <w:color w:val="000000"/>
                <w:sz w:val="24"/>
                <w:szCs w:val="24"/>
                <w:lang w:eastAsia="tr-TR"/>
              </w:rPr>
              <w:t>Diğer Giderler</w:t>
            </w:r>
          </w:p>
        </w:tc>
        <w:tc>
          <w:tcPr>
            <w:tcW w:w="2408" w:type="dxa"/>
            <w:tcBorders>
              <w:top w:val="nil"/>
              <w:left w:val="nil"/>
              <w:bottom w:val="single" w:sz="4" w:space="0" w:color="auto"/>
              <w:right w:val="single" w:sz="8" w:space="0" w:color="auto"/>
            </w:tcBorders>
            <w:shd w:val="clear" w:color="auto" w:fill="auto"/>
            <w:noWrap/>
            <w:vAlign w:val="center"/>
            <w:hideMark/>
          </w:tcPr>
          <w:p w14:paraId="172B85F3" w14:textId="77777777" w:rsidR="007653BB" w:rsidRPr="007653BB" w:rsidRDefault="007653BB" w:rsidP="007653BB">
            <w:pPr>
              <w:spacing w:after="0" w:line="240" w:lineRule="auto"/>
              <w:jc w:val="center"/>
              <w:rPr>
                <w:rFonts w:ascii="Times New Roman" w:eastAsia="Times New Roman" w:hAnsi="Times New Roman" w:cs="Times New Roman"/>
                <w:color w:val="000000"/>
                <w:sz w:val="24"/>
                <w:szCs w:val="24"/>
                <w:lang w:eastAsia="tr-TR"/>
              </w:rPr>
            </w:pPr>
            <w:r w:rsidRPr="007653BB">
              <w:rPr>
                <w:rFonts w:ascii="Times New Roman" w:eastAsia="Times New Roman" w:hAnsi="Times New Roman" w:cs="Times New Roman"/>
                <w:color w:val="000000"/>
                <w:sz w:val="24"/>
                <w:szCs w:val="24"/>
                <w:lang w:eastAsia="tr-TR"/>
              </w:rPr>
              <w:t>0.06</w:t>
            </w:r>
          </w:p>
        </w:tc>
        <w:tc>
          <w:tcPr>
            <w:tcW w:w="2983" w:type="dxa"/>
            <w:tcBorders>
              <w:top w:val="nil"/>
              <w:left w:val="single" w:sz="4" w:space="0" w:color="auto"/>
              <w:bottom w:val="single" w:sz="4" w:space="0" w:color="auto"/>
              <w:right w:val="single" w:sz="8" w:space="0" w:color="auto"/>
            </w:tcBorders>
            <w:shd w:val="clear" w:color="auto" w:fill="auto"/>
            <w:noWrap/>
            <w:vAlign w:val="center"/>
            <w:hideMark/>
          </w:tcPr>
          <w:p w14:paraId="7BBE85E7" w14:textId="77777777" w:rsidR="007653BB" w:rsidRPr="007653BB" w:rsidRDefault="007653BB" w:rsidP="007653BB">
            <w:pPr>
              <w:spacing w:after="0" w:line="240" w:lineRule="auto"/>
              <w:jc w:val="center"/>
              <w:rPr>
                <w:rFonts w:ascii="Times New Roman" w:eastAsia="Times New Roman" w:hAnsi="Times New Roman" w:cs="Times New Roman"/>
                <w:color w:val="000000"/>
                <w:sz w:val="24"/>
                <w:szCs w:val="24"/>
                <w:lang w:eastAsia="tr-TR"/>
              </w:rPr>
            </w:pPr>
            <w:r w:rsidRPr="007653BB">
              <w:rPr>
                <w:rFonts w:ascii="Times New Roman" w:eastAsia="Times New Roman" w:hAnsi="Times New Roman" w:cs="Times New Roman"/>
                <w:color w:val="000000"/>
                <w:sz w:val="24"/>
                <w:szCs w:val="24"/>
                <w:lang w:eastAsia="tr-TR"/>
              </w:rPr>
              <w:t>51,096.40</w:t>
            </w:r>
          </w:p>
        </w:tc>
      </w:tr>
      <w:tr w:rsidR="007653BB" w:rsidRPr="007653BB" w14:paraId="74E74BF8" w14:textId="77777777" w:rsidTr="007653BB">
        <w:trPr>
          <w:trHeight w:val="250"/>
        </w:trPr>
        <w:tc>
          <w:tcPr>
            <w:tcW w:w="3332" w:type="dxa"/>
            <w:tcBorders>
              <w:top w:val="nil"/>
              <w:left w:val="single" w:sz="8" w:space="0" w:color="auto"/>
              <w:bottom w:val="single" w:sz="8" w:space="0" w:color="auto"/>
              <w:right w:val="single" w:sz="4" w:space="0" w:color="auto"/>
            </w:tcBorders>
            <w:shd w:val="clear" w:color="auto" w:fill="auto"/>
            <w:noWrap/>
            <w:vAlign w:val="center"/>
            <w:hideMark/>
          </w:tcPr>
          <w:p w14:paraId="181ACFB4" w14:textId="77777777" w:rsidR="007653BB" w:rsidRPr="007653BB" w:rsidRDefault="007653BB" w:rsidP="007653BB">
            <w:pPr>
              <w:spacing w:after="0" w:line="240" w:lineRule="auto"/>
              <w:rPr>
                <w:rFonts w:ascii="Times New Roman" w:eastAsia="Times New Roman" w:hAnsi="Times New Roman" w:cs="Times New Roman"/>
                <w:b/>
                <w:bCs/>
                <w:color w:val="000000"/>
                <w:sz w:val="24"/>
                <w:szCs w:val="24"/>
                <w:lang w:eastAsia="tr-TR"/>
              </w:rPr>
            </w:pPr>
            <w:r w:rsidRPr="007653BB">
              <w:rPr>
                <w:rFonts w:ascii="Times New Roman" w:eastAsia="Times New Roman" w:hAnsi="Times New Roman" w:cs="Times New Roman"/>
                <w:b/>
                <w:bCs/>
                <w:color w:val="000000"/>
                <w:sz w:val="24"/>
                <w:szCs w:val="24"/>
                <w:lang w:eastAsia="tr-TR"/>
              </w:rPr>
              <w:t>Toplam</w:t>
            </w:r>
          </w:p>
        </w:tc>
        <w:tc>
          <w:tcPr>
            <w:tcW w:w="2408" w:type="dxa"/>
            <w:tcBorders>
              <w:top w:val="nil"/>
              <w:left w:val="nil"/>
              <w:bottom w:val="single" w:sz="8" w:space="0" w:color="auto"/>
              <w:right w:val="single" w:sz="4" w:space="0" w:color="auto"/>
            </w:tcBorders>
            <w:shd w:val="clear" w:color="auto" w:fill="auto"/>
            <w:noWrap/>
            <w:vAlign w:val="center"/>
            <w:hideMark/>
          </w:tcPr>
          <w:p w14:paraId="579EDBE5" w14:textId="77777777" w:rsidR="007653BB" w:rsidRPr="007653BB" w:rsidRDefault="007653BB" w:rsidP="007653BB">
            <w:pPr>
              <w:spacing w:after="0" w:line="240" w:lineRule="auto"/>
              <w:jc w:val="center"/>
              <w:rPr>
                <w:rFonts w:ascii="Times New Roman" w:eastAsia="Times New Roman" w:hAnsi="Times New Roman" w:cs="Times New Roman"/>
                <w:b/>
                <w:bCs/>
                <w:color w:val="000000"/>
                <w:sz w:val="24"/>
                <w:szCs w:val="24"/>
                <w:lang w:eastAsia="tr-TR"/>
              </w:rPr>
            </w:pPr>
            <w:r w:rsidRPr="007653BB">
              <w:rPr>
                <w:rFonts w:ascii="Times New Roman" w:eastAsia="Times New Roman" w:hAnsi="Times New Roman" w:cs="Times New Roman"/>
                <w:b/>
                <w:bCs/>
                <w:color w:val="000000"/>
                <w:sz w:val="24"/>
                <w:szCs w:val="24"/>
                <w:lang w:eastAsia="tr-TR"/>
              </w:rPr>
              <w:t>1.66</w:t>
            </w:r>
          </w:p>
        </w:tc>
        <w:tc>
          <w:tcPr>
            <w:tcW w:w="2983" w:type="dxa"/>
            <w:tcBorders>
              <w:top w:val="nil"/>
              <w:left w:val="nil"/>
              <w:bottom w:val="single" w:sz="4" w:space="0" w:color="auto"/>
              <w:right w:val="single" w:sz="8" w:space="0" w:color="auto"/>
            </w:tcBorders>
            <w:shd w:val="clear" w:color="auto" w:fill="auto"/>
            <w:noWrap/>
            <w:vAlign w:val="center"/>
            <w:hideMark/>
          </w:tcPr>
          <w:p w14:paraId="0466C02E" w14:textId="77777777" w:rsidR="007653BB" w:rsidRPr="007653BB" w:rsidRDefault="007653BB" w:rsidP="007653BB">
            <w:pPr>
              <w:spacing w:after="0" w:line="240" w:lineRule="auto"/>
              <w:jc w:val="center"/>
              <w:rPr>
                <w:rFonts w:ascii="Times New Roman" w:eastAsia="Times New Roman" w:hAnsi="Times New Roman" w:cs="Times New Roman"/>
                <w:b/>
                <w:bCs/>
                <w:color w:val="000000"/>
                <w:sz w:val="24"/>
                <w:szCs w:val="24"/>
                <w:lang w:eastAsia="tr-TR"/>
              </w:rPr>
            </w:pPr>
            <w:r w:rsidRPr="007653BB">
              <w:rPr>
                <w:rFonts w:ascii="Times New Roman" w:eastAsia="Times New Roman" w:hAnsi="Times New Roman" w:cs="Times New Roman"/>
                <w:b/>
                <w:bCs/>
                <w:color w:val="000000"/>
                <w:sz w:val="24"/>
                <w:szCs w:val="24"/>
                <w:lang w:eastAsia="tr-TR"/>
              </w:rPr>
              <w:t>1,444,946.40</w:t>
            </w:r>
          </w:p>
        </w:tc>
      </w:tr>
      <w:tr w:rsidR="007653BB" w:rsidRPr="007653BB" w14:paraId="798BE6C7" w14:textId="77777777" w:rsidTr="007653BB">
        <w:trPr>
          <w:trHeight w:val="239"/>
        </w:trPr>
        <w:tc>
          <w:tcPr>
            <w:tcW w:w="3332" w:type="dxa"/>
            <w:tcBorders>
              <w:top w:val="nil"/>
              <w:left w:val="nil"/>
              <w:bottom w:val="nil"/>
              <w:right w:val="nil"/>
            </w:tcBorders>
            <w:shd w:val="clear" w:color="auto" w:fill="auto"/>
            <w:noWrap/>
            <w:vAlign w:val="center"/>
            <w:hideMark/>
          </w:tcPr>
          <w:p w14:paraId="685A7030" w14:textId="77777777" w:rsidR="007653BB" w:rsidRPr="007653BB" w:rsidRDefault="007653BB" w:rsidP="007653BB">
            <w:pPr>
              <w:spacing w:after="0" w:line="240" w:lineRule="auto"/>
              <w:jc w:val="center"/>
              <w:rPr>
                <w:rFonts w:ascii="Times New Roman" w:eastAsia="Times New Roman" w:hAnsi="Times New Roman" w:cs="Times New Roman"/>
                <w:b/>
                <w:bCs/>
                <w:color w:val="000000"/>
                <w:sz w:val="24"/>
                <w:szCs w:val="24"/>
                <w:lang w:eastAsia="tr-TR"/>
              </w:rPr>
            </w:pPr>
          </w:p>
        </w:tc>
        <w:tc>
          <w:tcPr>
            <w:tcW w:w="2408" w:type="dxa"/>
            <w:tcBorders>
              <w:top w:val="nil"/>
              <w:left w:val="nil"/>
              <w:bottom w:val="nil"/>
              <w:right w:val="nil"/>
            </w:tcBorders>
            <w:shd w:val="clear" w:color="auto" w:fill="auto"/>
            <w:noWrap/>
            <w:vAlign w:val="center"/>
            <w:hideMark/>
          </w:tcPr>
          <w:p w14:paraId="708ECE75" w14:textId="77777777" w:rsidR="007653BB" w:rsidRPr="007653BB" w:rsidRDefault="007653BB" w:rsidP="007653BB">
            <w:pPr>
              <w:spacing w:after="0" w:line="240" w:lineRule="auto"/>
              <w:rPr>
                <w:rFonts w:ascii="Times New Roman" w:eastAsia="Times New Roman" w:hAnsi="Times New Roman" w:cs="Times New Roman"/>
                <w:sz w:val="20"/>
                <w:szCs w:val="20"/>
                <w:lang w:eastAsia="tr-TR"/>
              </w:rPr>
            </w:pPr>
          </w:p>
        </w:tc>
        <w:tc>
          <w:tcPr>
            <w:tcW w:w="2983" w:type="dxa"/>
            <w:tcBorders>
              <w:top w:val="nil"/>
              <w:left w:val="nil"/>
              <w:bottom w:val="nil"/>
              <w:right w:val="nil"/>
            </w:tcBorders>
            <w:shd w:val="clear" w:color="auto" w:fill="auto"/>
            <w:noWrap/>
            <w:vAlign w:val="center"/>
            <w:hideMark/>
          </w:tcPr>
          <w:p w14:paraId="3193435C" w14:textId="77777777" w:rsidR="007653BB" w:rsidRPr="007653BB" w:rsidRDefault="007653BB" w:rsidP="007653BB">
            <w:pPr>
              <w:spacing w:after="0" w:line="240" w:lineRule="auto"/>
              <w:rPr>
                <w:rFonts w:ascii="Times New Roman" w:eastAsia="Times New Roman" w:hAnsi="Times New Roman" w:cs="Times New Roman"/>
                <w:sz w:val="20"/>
                <w:szCs w:val="20"/>
                <w:lang w:eastAsia="tr-TR"/>
              </w:rPr>
            </w:pPr>
          </w:p>
        </w:tc>
      </w:tr>
      <w:tr w:rsidR="007653BB" w:rsidRPr="007653BB" w14:paraId="005EAC3E" w14:textId="77777777" w:rsidTr="007653BB">
        <w:trPr>
          <w:trHeight w:val="250"/>
        </w:trPr>
        <w:tc>
          <w:tcPr>
            <w:tcW w:w="3332" w:type="dxa"/>
            <w:tcBorders>
              <w:top w:val="nil"/>
              <w:left w:val="nil"/>
              <w:bottom w:val="nil"/>
              <w:right w:val="nil"/>
            </w:tcBorders>
            <w:shd w:val="clear" w:color="auto" w:fill="auto"/>
            <w:noWrap/>
            <w:vAlign w:val="center"/>
            <w:hideMark/>
          </w:tcPr>
          <w:p w14:paraId="07214FA4" w14:textId="77777777" w:rsidR="007653BB" w:rsidRPr="007653BB" w:rsidRDefault="007653BB" w:rsidP="007653BB">
            <w:pPr>
              <w:spacing w:after="0" w:line="240" w:lineRule="auto"/>
              <w:rPr>
                <w:rFonts w:ascii="Times New Roman" w:eastAsia="Times New Roman" w:hAnsi="Times New Roman" w:cs="Times New Roman"/>
                <w:sz w:val="20"/>
                <w:szCs w:val="20"/>
                <w:lang w:eastAsia="tr-TR"/>
              </w:rPr>
            </w:pPr>
          </w:p>
        </w:tc>
        <w:tc>
          <w:tcPr>
            <w:tcW w:w="2408" w:type="dxa"/>
            <w:tcBorders>
              <w:top w:val="nil"/>
              <w:left w:val="nil"/>
              <w:bottom w:val="nil"/>
              <w:right w:val="nil"/>
            </w:tcBorders>
            <w:shd w:val="clear" w:color="auto" w:fill="auto"/>
            <w:noWrap/>
            <w:vAlign w:val="center"/>
            <w:hideMark/>
          </w:tcPr>
          <w:p w14:paraId="23F8F70F" w14:textId="77777777" w:rsidR="007653BB" w:rsidRPr="007653BB" w:rsidRDefault="007653BB" w:rsidP="007653BB">
            <w:pPr>
              <w:spacing w:after="0" w:line="240" w:lineRule="auto"/>
              <w:rPr>
                <w:rFonts w:ascii="Times New Roman" w:eastAsia="Times New Roman" w:hAnsi="Times New Roman" w:cs="Times New Roman"/>
                <w:sz w:val="20"/>
                <w:szCs w:val="20"/>
                <w:lang w:eastAsia="tr-TR"/>
              </w:rPr>
            </w:pPr>
          </w:p>
        </w:tc>
        <w:tc>
          <w:tcPr>
            <w:tcW w:w="2983" w:type="dxa"/>
            <w:tcBorders>
              <w:top w:val="nil"/>
              <w:left w:val="nil"/>
              <w:bottom w:val="nil"/>
              <w:right w:val="nil"/>
            </w:tcBorders>
            <w:shd w:val="clear" w:color="auto" w:fill="auto"/>
            <w:noWrap/>
            <w:vAlign w:val="center"/>
            <w:hideMark/>
          </w:tcPr>
          <w:p w14:paraId="212AC1EF" w14:textId="77777777" w:rsidR="007653BB" w:rsidRPr="007653BB" w:rsidRDefault="007653BB" w:rsidP="007653BB">
            <w:pPr>
              <w:spacing w:after="0" w:line="240" w:lineRule="auto"/>
              <w:rPr>
                <w:rFonts w:ascii="Times New Roman" w:eastAsia="Times New Roman" w:hAnsi="Times New Roman" w:cs="Times New Roman"/>
                <w:sz w:val="20"/>
                <w:szCs w:val="20"/>
                <w:lang w:eastAsia="tr-TR"/>
              </w:rPr>
            </w:pPr>
          </w:p>
        </w:tc>
      </w:tr>
      <w:tr w:rsidR="007653BB" w:rsidRPr="007653BB" w14:paraId="3AD26F5F" w14:textId="77777777" w:rsidTr="007653BB">
        <w:trPr>
          <w:trHeight w:val="239"/>
        </w:trPr>
        <w:tc>
          <w:tcPr>
            <w:tcW w:w="8724"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4B0285C3" w14:textId="77777777" w:rsidR="007653BB" w:rsidRPr="007653BB" w:rsidRDefault="007653BB" w:rsidP="007653BB">
            <w:pPr>
              <w:spacing w:after="0" w:line="240" w:lineRule="auto"/>
              <w:jc w:val="center"/>
              <w:rPr>
                <w:rFonts w:ascii="Times New Roman" w:eastAsia="Times New Roman" w:hAnsi="Times New Roman" w:cs="Times New Roman"/>
                <w:b/>
                <w:bCs/>
                <w:color w:val="000000"/>
                <w:sz w:val="24"/>
                <w:szCs w:val="24"/>
                <w:lang w:eastAsia="tr-TR"/>
              </w:rPr>
            </w:pPr>
            <w:r w:rsidRPr="007653BB">
              <w:rPr>
                <w:rFonts w:ascii="Times New Roman" w:eastAsia="Times New Roman" w:hAnsi="Times New Roman" w:cs="Times New Roman"/>
                <w:b/>
                <w:bCs/>
                <w:color w:val="000000"/>
                <w:sz w:val="24"/>
                <w:szCs w:val="24"/>
                <w:lang w:eastAsia="tr-TR"/>
              </w:rPr>
              <w:t>01 Ocak- 30 Haziran 2024</w:t>
            </w:r>
          </w:p>
        </w:tc>
      </w:tr>
      <w:tr w:rsidR="007653BB" w:rsidRPr="007653BB" w14:paraId="61E368A3" w14:textId="77777777" w:rsidTr="007653BB">
        <w:trPr>
          <w:trHeight w:val="239"/>
        </w:trPr>
        <w:tc>
          <w:tcPr>
            <w:tcW w:w="5741"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6075618" w14:textId="77777777" w:rsidR="007653BB" w:rsidRPr="007653BB" w:rsidRDefault="007653BB" w:rsidP="007653BB">
            <w:pPr>
              <w:spacing w:after="0" w:line="240" w:lineRule="auto"/>
              <w:rPr>
                <w:rFonts w:ascii="Times New Roman" w:eastAsia="Times New Roman" w:hAnsi="Times New Roman" w:cs="Times New Roman"/>
                <w:sz w:val="24"/>
                <w:szCs w:val="24"/>
                <w:lang w:eastAsia="tr-TR"/>
              </w:rPr>
            </w:pPr>
            <w:r w:rsidRPr="007653BB">
              <w:rPr>
                <w:rFonts w:ascii="Times New Roman" w:eastAsia="Times New Roman" w:hAnsi="Times New Roman" w:cs="Times New Roman"/>
                <w:sz w:val="24"/>
                <w:szCs w:val="24"/>
                <w:lang w:eastAsia="tr-TR"/>
              </w:rPr>
              <w:t>Ortalama Fon Portföy Değeri</w:t>
            </w:r>
          </w:p>
        </w:tc>
        <w:tc>
          <w:tcPr>
            <w:tcW w:w="2983" w:type="dxa"/>
            <w:tcBorders>
              <w:top w:val="nil"/>
              <w:left w:val="nil"/>
              <w:bottom w:val="single" w:sz="4" w:space="0" w:color="auto"/>
              <w:right w:val="single" w:sz="8" w:space="0" w:color="auto"/>
            </w:tcBorders>
            <w:shd w:val="clear" w:color="auto" w:fill="auto"/>
            <w:noWrap/>
            <w:vAlign w:val="center"/>
            <w:hideMark/>
          </w:tcPr>
          <w:p w14:paraId="527EB49A" w14:textId="77777777" w:rsidR="007653BB" w:rsidRPr="007653BB" w:rsidRDefault="007653BB" w:rsidP="007653BB">
            <w:pPr>
              <w:spacing w:after="0" w:line="240" w:lineRule="auto"/>
              <w:jc w:val="center"/>
              <w:rPr>
                <w:rFonts w:ascii="Times New Roman" w:eastAsia="Times New Roman" w:hAnsi="Times New Roman" w:cs="Times New Roman"/>
                <w:color w:val="000000"/>
                <w:sz w:val="24"/>
                <w:szCs w:val="24"/>
                <w:lang w:eastAsia="tr-TR"/>
              </w:rPr>
            </w:pPr>
            <w:r w:rsidRPr="007653BB">
              <w:rPr>
                <w:rFonts w:ascii="Times New Roman" w:eastAsia="Times New Roman" w:hAnsi="Times New Roman" w:cs="Times New Roman"/>
                <w:color w:val="000000"/>
                <w:sz w:val="24"/>
                <w:szCs w:val="24"/>
                <w:lang w:eastAsia="tr-TR"/>
              </w:rPr>
              <w:t>87,101,526.85</w:t>
            </w:r>
          </w:p>
        </w:tc>
      </w:tr>
      <w:tr w:rsidR="007653BB" w:rsidRPr="007653BB" w14:paraId="1A196A86" w14:textId="77777777" w:rsidTr="007653BB">
        <w:trPr>
          <w:trHeight w:val="239"/>
        </w:trPr>
        <w:tc>
          <w:tcPr>
            <w:tcW w:w="5741"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C32163F" w14:textId="77777777" w:rsidR="007653BB" w:rsidRPr="007653BB" w:rsidRDefault="007653BB" w:rsidP="007653BB">
            <w:pPr>
              <w:spacing w:after="0" w:line="240" w:lineRule="auto"/>
              <w:rPr>
                <w:rFonts w:ascii="Times New Roman" w:eastAsia="Times New Roman" w:hAnsi="Times New Roman" w:cs="Times New Roman"/>
                <w:color w:val="000000"/>
                <w:sz w:val="24"/>
                <w:szCs w:val="24"/>
                <w:lang w:eastAsia="tr-TR"/>
              </w:rPr>
            </w:pPr>
            <w:r w:rsidRPr="007653BB">
              <w:rPr>
                <w:rFonts w:ascii="Times New Roman" w:eastAsia="Times New Roman" w:hAnsi="Times New Roman" w:cs="Times New Roman"/>
                <w:color w:val="000000"/>
                <w:sz w:val="24"/>
                <w:szCs w:val="24"/>
                <w:lang w:eastAsia="tr-TR"/>
              </w:rPr>
              <w:t>Toplam Faaliyet Giderleri</w:t>
            </w:r>
          </w:p>
        </w:tc>
        <w:tc>
          <w:tcPr>
            <w:tcW w:w="2983" w:type="dxa"/>
            <w:tcBorders>
              <w:top w:val="nil"/>
              <w:left w:val="nil"/>
              <w:bottom w:val="single" w:sz="4" w:space="0" w:color="auto"/>
              <w:right w:val="single" w:sz="8" w:space="0" w:color="auto"/>
            </w:tcBorders>
            <w:shd w:val="clear" w:color="auto" w:fill="auto"/>
            <w:noWrap/>
            <w:vAlign w:val="center"/>
            <w:hideMark/>
          </w:tcPr>
          <w:p w14:paraId="588C5157" w14:textId="77777777" w:rsidR="007653BB" w:rsidRPr="007653BB" w:rsidRDefault="007653BB" w:rsidP="007653BB">
            <w:pPr>
              <w:spacing w:after="0" w:line="240" w:lineRule="auto"/>
              <w:jc w:val="center"/>
              <w:rPr>
                <w:rFonts w:ascii="Times New Roman" w:eastAsia="Times New Roman" w:hAnsi="Times New Roman" w:cs="Times New Roman"/>
                <w:color w:val="000000"/>
                <w:sz w:val="24"/>
                <w:szCs w:val="24"/>
                <w:lang w:eastAsia="tr-TR"/>
              </w:rPr>
            </w:pPr>
            <w:r w:rsidRPr="007653BB">
              <w:rPr>
                <w:rFonts w:ascii="Times New Roman" w:eastAsia="Times New Roman" w:hAnsi="Times New Roman" w:cs="Times New Roman"/>
                <w:color w:val="000000"/>
                <w:sz w:val="24"/>
                <w:szCs w:val="24"/>
                <w:lang w:eastAsia="tr-TR"/>
              </w:rPr>
              <w:t>1,444,946.40</w:t>
            </w:r>
          </w:p>
        </w:tc>
      </w:tr>
      <w:tr w:rsidR="007653BB" w:rsidRPr="007653BB" w14:paraId="4137E464" w14:textId="77777777" w:rsidTr="007653BB">
        <w:trPr>
          <w:trHeight w:val="250"/>
        </w:trPr>
        <w:tc>
          <w:tcPr>
            <w:tcW w:w="5741" w:type="dxa"/>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5C184A14" w14:textId="77777777" w:rsidR="007653BB" w:rsidRPr="007653BB" w:rsidRDefault="007653BB" w:rsidP="007653BB">
            <w:pPr>
              <w:spacing w:after="0" w:line="240" w:lineRule="auto"/>
              <w:rPr>
                <w:rFonts w:ascii="Times New Roman" w:eastAsia="Times New Roman" w:hAnsi="Times New Roman" w:cs="Times New Roman"/>
                <w:sz w:val="24"/>
                <w:szCs w:val="24"/>
                <w:lang w:eastAsia="tr-TR"/>
              </w:rPr>
            </w:pPr>
            <w:r w:rsidRPr="007653BB">
              <w:rPr>
                <w:rFonts w:ascii="Times New Roman" w:eastAsia="Times New Roman" w:hAnsi="Times New Roman" w:cs="Times New Roman"/>
                <w:sz w:val="24"/>
                <w:szCs w:val="24"/>
                <w:lang w:eastAsia="tr-TR"/>
              </w:rPr>
              <w:t>Toplam Faaliyet Giderleri / Ortalama Portföy Değeri (%)</w:t>
            </w:r>
          </w:p>
        </w:tc>
        <w:tc>
          <w:tcPr>
            <w:tcW w:w="2983" w:type="dxa"/>
            <w:tcBorders>
              <w:top w:val="nil"/>
              <w:left w:val="nil"/>
              <w:bottom w:val="single" w:sz="8" w:space="0" w:color="auto"/>
              <w:right w:val="single" w:sz="8" w:space="0" w:color="auto"/>
            </w:tcBorders>
            <w:shd w:val="clear" w:color="auto" w:fill="auto"/>
            <w:noWrap/>
            <w:vAlign w:val="center"/>
            <w:hideMark/>
          </w:tcPr>
          <w:p w14:paraId="2ADED256" w14:textId="77777777" w:rsidR="007653BB" w:rsidRPr="007653BB" w:rsidRDefault="007653BB" w:rsidP="007653BB">
            <w:pPr>
              <w:spacing w:after="0" w:line="240" w:lineRule="auto"/>
              <w:jc w:val="center"/>
              <w:rPr>
                <w:rFonts w:ascii="Times New Roman" w:eastAsia="Times New Roman" w:hAnsi="Times New Roman" w:cs="Times New Roman"/>
                <w:sz w:val="24"/>
                <w:szCs w:val="24"/>
                <w:lang w:eastAsia="tr-TR"/>
              </w:rPr>
            </w:pPr>
            <w:r w:rsidRPr="007653BB">
              <w:rPr>
                <w:rFonts w:ascii="Times New Roman" w:eastAsia="Times New Roman" w:hAnsi="Times New Roman" w:cs="Times New Roman"/>
                <w:sz w:val="24"/>
                <w:szCs w:val="24"/>
                <w:lang w:eastAsia="tr-TR"/>
              </w:rPr>
              <w:t>1.66</w:t>
            </w:r>
          </w:p>
        </w:tc>
      </w:tr>
    </w:tbl>
    <w:p w14:paraId="0C00F636" w14:textId="77777777" w:rsidR="007653BB" w:rsidRPr="00CE6762" w:rsidRDefault="00CC7520" w:rsidP="00CE6762">
      <w:pPr>
        <w:spacing w:after="0"/>
        <w:ind w:left="360"/>
        <w:rPr>
          <w:rFonts w:ascii="Times New Roman" w:hAnsi="Times New Roman" w:cs="Times New Roman"/>
        </w:rPr>
      </w:pPr>
      <w:r w:rsidRPr="00CE6762">
        <w:rPr>
          <w:rFonts w:ascii="Times New Roman" w:hAnsi="Times New Roman" w:cs="Times New Roman"/>
          <w:sz w:val="24"/>
          <w:szCs w:val="24"/>
        </w:rPr>
        <w:t xml:space="preserve"> </w:t>
      </w:r>
    </w:p>
    <w:p w14:paraId="48E2ACEA" w14:textId="312B161C" w:rsidR="00237C1F" w:rsidRPr="00CE6762" w:rsidRDefault="00237C1F" w:rsidP="007653BB">
      <w:pPr>
        <w:spacing w:after="0"/>
        <w:rPr>
          <w:rFonts w:ascii="Times New Roman" w:hAnsi="Times New Roman" w:cs="Times New Roman"/>
        </w:rPr>
      </w:pPr>
    </w:p>
    <w:p w14:paraId="47763012" w14:textId="77777777" w:rsidR="00D34E03" w:rsidRDefault="00D34E03" w:rsidP="00CC7520">
      <w:pPr>
        <w:pStyle w:val="ListeParagraf"/>
        <w:spacing w:after="0"/>
        <w:rPr>
          <w:rFonts w:ascii="Times New Roman" w:hAnsi="Times New Roman" w:cs="Times New Roman"/>
          <w:sz w:val="24"/>
          <w:szCs w:val="24"/>
        </w:rPr>
      </w:pPr>
    </w:p>
    <w:p w14:paraId="48773FCD" w14:textId="3D2ACA2C" w:rsidR="005B1694" w:rsidRDefault="00EE1C8B" w:rsidP="00D34E03">
      <w:pPr>
        <w:pStyle w:val="ListeParagraf"/>
        <w:numPr>
          <w:ilvl w:val="0"/>
          <w:numId w:val="3"/>
        </w:numPr>
        <w:spacing w:after="0"/>
        <w:ind w:left="360" w:hanging="76"/>
        <w:jc w:val="both"/>
        <w:rPr>
          <w:rFonts w:ascii="Times New Roman" w:hAnsi="Times New Roman" w:cs="Times New Roman"/>
          <w:sz w:val="24"/>
          <w:szCs w:val="24"/>
        </w:rPr>
      </w:pPr>
      <w:r w:rsidRPr="00BF54DE">
        <w:rPr>
          <w:rFonts w:ascii="Times New Roman" w:hAnsi="Times New Roman" w:cs="Times New Roman"/>
          <w:sz w:val="24"/>
          <w:szCs w:val="24"/>
        </w:rPr>
        <w:t>P</w:t>
      </w:r>
      <w:r w:rsidR="00CC7520" w:rsidRPr="00BF54DE">
        <w:rPr>
          <w:rFonts w:ascii="Times New Roman" w:hAnsi="Times New Roman" w:cs="Times New Roman"/>
          <w:sz w:val="24"/>
          <w:szCs w:val="24"/>
        </w:rPr>
        <w:t>erformans sunum dönemi içinde eşik değerinde</w:t>
      </w:r>
      <w:r w:rsidR="006C3B9B">
        <w:rPr>
          <w:rFonts w:ascii="Times New Roman" w:hAnsi="Times New Roman" w:cs="Times New Roman"/>
          <w:sz w:val="24"/>
          <w:szCs w:val="24"/>
        </w:rPr>
        <w:t xml:space="preserve"> ve yatırım stratejisinde</w:t>
      </w:r>
      <w:r w:rsidR="00CC7520" w:rsidRPr="00BF54DE">
        <w:rPr>
          <w:rFonts w:ascii="Times New Roman" w:hAnsi="Times New Roman" w:cs="Times New Roman"/>
          <w:sz w:val="24"/>
          <w:szCs w:val="24"/>
        </w:rPr>
        <w:t xml:space="preserve"> herhangi bir değişiklik yapılmamıştır.</w:t>
      </w:r>
      <w:r w:rsidR="005B1694">
        <w:rPr>
          <w:rFonts w:ascii="Times New Roman" w:hAnsi="Times New Roman" w:cs="Times New Roman"/>
          <w:sz w:val="24"/>
          <w:szCs w:val="24"/>
        </w:rPr>
        <w:t xml:space="preserve"> </w:t>
      </w:r>
    </w:p>
    <w:p w14:paraId="788872AE" w14:textId="77777777" w:rsidR="00D34E03" w:rsidRPr="00D34E03" w:rsidRDefault="00D34E03" w:rsidP="00D34E03">
      <w:pPr>
        <w:pStyle w:val="ListeParagraf"/>
        <w:spacing w:after="0"/>
        <w:ind w:left="360"/>
        <w:jc w:val="both"/>
        <w:rPr>
          <w:rFonts w:ascii="Times New Roman" w:hAnsi="Times New Roman" w:cs="Times New Roman"/>
          <w:sz w:val="24"/>
          <w:szCs w:val="24"/>
        </w:rPr>
      </w:pPr>
    </w:p>
    <w:p w14:paraId="7C35BAE5" w14:textId="77777777" w:rsidR="00F42315" w:rsidRDefault="00F42315" w:rsidP="00F42315">
      <w:pPr>
        <w:pStyle w:val="ListeParagraf"/>
        <w:numPr>
          <w:ilvl w:val="0"/>
          <w:numId w:val="3"/>
        </w:numPr>
        <w:tabs>
          <w:tab w:val="left" w:pos="426"/>
          <w:tab w:val="left" w:pos="9356"/>
        </w:tabs>
        <w:jc w:val="both"/>
        <w:rPr>
          <w:rFonts w:ascii="Times New Roman" w:hAnsi="Times New Roman" w:cs="Times New Roman"/>
          <w:sz w:val="24"/>
          <w:szCs w:val="24"/>
        </w:rPr>
      </w:pPr>
      <w:r>
        <w:rPr>
          <w:rFonts w:ascii="Times New Roman" w:hAnsi="Times New Roman" w:cs="Times New Roman"/>
          <w:b/>
          <w:bCs/>
          <w:sz w:val="24"/>
          <w:szCs w:val="24"/>
        </w:rPr>
        <w:t>a)</w:t>
      </w:r>
      <w:r>
        <w:rPr>
          <w:rFonts w:ascii="Times New Roman" w:hAnsi="Times New Roman" w:cs="Times New Roman"/>
          <w:sz w:val="24"/>
          <w:szCs w:val="24"/>
        </w:rPr>
        <w:t xml:space="preserve"> Kurumlar Vergisi Düzenlemesi Açısından: 5520 sayılı Kurumlar Vergisi Kanunu’nun 5'inci maddesinin 1 numaralı bendinin (d) alt bendi uyarınca, menkul </w:t>
      </w:r>
      <w:r>
        <w:rPr>
          <w:rFonts w:ascii="Times New Roman" w:hAnsi="Times New Roman" w:cs="Times New Roman"/>
          <w:sz w:val="24"/>
          <w:szCs w:val="24"/>
        </w:rPr>
        <w:lastRenderedPageBreak/>
        <w:t xml:space="preserve">kıymet yatırım fonlarının portföy işletmeciliğinden doğan kazançları kurumlar vergisinden istisnadır. </w:t>
      </w:r>
    </w:p>
    <w:p w14:paraId="6C7680CB" w14:textId="300AB8AC" w:rsidR="008A60CB" w:rsidRDefault="00F42315" w:rsidP="00D34E03">
      <w:pPr>
        <w:pStyle w:val="ListeParagraf"/>
        <w:tabs>
          <w:tab w:val="left" w:pos="426"/>
          <w:tab w:val="left" w:pos="9356"/>
        </w:tabs>
        <w:jc w:val="both"/>
        <w:rPr>
          <w:rFonts w:ascii="Times New Roman" w:hAnsi="Times New Roman" w:cs="Times New Roman"/>
          <w:sz w:val="24"/>
          <w:szCs w:val="24"/>
        </w:rPr>
      </w:pPr>
      <w:r>
        <w:rPr>
          <w:rFonts w:ascii="Times New Roman" w:hAnsi="Times New Roman" w:cs="Times New Roman"/>
          <w:b/>
          <w:bCs/>
          <w:sz w:val="24"/>
          <w:szCs w:val="24"/>
        </w:rPr>
        <w:t>b)</w:t>
      </w:r>
      <w:r>
        <w:rPr>
          <w:rFonts w:ascii="Times New Roman" w:hAnsi="Times New Roman" w:cs="Times New Roman"/>
          <w:sz w:val="24"/>
          <w:szCs w:val="24"/>
        </w:rPr>
        <w:t xml:space="preserve"> Gelir Vergisi Düzenlemesi Açısından: Fonların portföy işletmeciliği kazançları, Gelir Vergisi Kanunu’nun geçici 67. maddesinin (8) numaralı bendi uyarınca, </w:t>
      </w:r>
      <w:proofErr w:type="gramStart"/>
      <w:r>
        <w:rPr>
          <w:rFonts w:ascii="Times New Roman" w:hAnsi="Times New Roman" w:cs="Times New Roman"/>
          <w:sz w:val="24"/>
          <w:szCs w:val="24"/>
        </w:rPr>
        <w:t>%0</w:t>
      </w:r>
      <w:proofErr w:type="gramEnd"/>
      <w:r>
        <w:rPr>
          <w:rFonts w:ascii="Times New Roman" w:hAnsi="Times New Roman" w:cs="Times New Roman"/>
          <w:sz w:val="24"/>
          <w:szCs w:val="24"/>
        </w:rPr>
        <w:t xml:space="preserve"> oranında gelir vergisi </w:t>
      </w:r>
      <w:proofErr w:type="spellStart"/>
      <w:r>
        <w:rPr>
          <w:rFonts w:ascii="Times New Roman" w:hAnsi="Times New Roman" w:cs="Times New Roman"/>
          <w:sz w:val="24"/>
          <w:szCs w:val="24"/>
        </w:rPr>
        <w:t>tevfikatına</w:t>
      </w:r>
      <w:proofErr w:type="spellEnd"/>
      <w:r>
        <w:rPr>
          <w:rFonts w:ascii="Times New Roman" w:hAnsi="Times New Roman" w:cs="Times New Roman"/>
          <w:sz w:val="24"/>
          <w:szCs w:val="24"/>
        </w:rPr>
        <w:t xml:space="preserve"> tabidir.</w:t>
      </w:r>
    </w:p>
    <w:p w14:paraId="265B7627" w14:textId="77777777" w:rsidR="00D34E03" w:rsidRDefault="00D34E03" w:rsidP="00D34E03">
      <w:pPr>
        <w:pStyle w:val="ListeParagraf"/>
        <w:tabs>
          <w:tab w:val="left" w:pos="426"/>
          <w:tab w:val="left" w:pos="9356"/>
        </w:tabs>
        <w:jc w:val="both"/>
        <w:rPr>
          <w:rFonts w:ascii="Times New Roman" w:hAnsi="Times New Roman" w:cs="Times New Roman"/>
          <w:sz w:val="24"/>
          <w:szCs w:val="24"/>
        </w:rPr>
      </w:pPr>
    </w:p>
    <w:p w14:paraId="1937CA62" w14:textId="77777777" w:rsidR="00275FAF" w:rsidRDefault="00275FAF" w:rsidP="00275FAF">
      <w:pPr>
        <w:pStyle w:val="ListeParagraf"/>
        <w:numPr>
          <w:ilvl w:val="0"/>
          <w:numId w:val="1"/>
        </w:numPr>
        <w:spacing w:after="0"/>
        <w:rPr>
          <w:rFonts w:ascii="Times New Roman" w:hAnsi="Times New Roman" w:cs="Times New Roman"/>
          <w:b/>
          <w:sz w:val="24"/>
          <w:szCs w:val="24"/>
        </w:rPr>
      </w:pPr>
      <w:r w:rsidRPr="00275FAF">
        <w:rPr>
          <w:rFonts w:ascii="Times New Roman" w:hAnsi="Times New Roman" w:cs="Times New Roman"/>
          <w:b/>
          <w:sz w:val="24"/>
          <w:szCs w:val="24"/>
        </w:rPr>
        <w:t>İLAVE BİLGİLER VE AÇIKLAMALAR</w:t>
      </w:r>
    </w:p>
    <w:p w14:paraId="0C5BD4F7" w14:textId="77777777" w:rsidR="00275FAF" w:rsidRDefault="00275FAF" w:rsidP="001B1C6E">
      <w:pPr>
        <w:spacing w:after="0"/>
        <w:ind w:left="360"/>
        <w:jc w:val="both"/>
        <w:rPr>
          <w:rFonts w:ascii="Times New Roman" w:hAnsi="Times New Roman" w:cs="Times New Roman"/>
          <w:b/>
          <w:sz w:val="24"/>
          <w:szCs w:val="24"/>
        </w:rPr>
      </w:pPr>
    </w:p>
    <w:p w14:paraId="3A05C685" w14:textId="696ECC11" w:rsidR="00275FAF" w:rsidRPr="00D42D4B" w:rsidRDefault="00275FAF" w:rsidP="00D42D4B">
      <w:pPr>
        <w:spacing w:after="0"/>
        <w:ind w:left="709" w:firstLine="567"/>
        <w:jc w:val="both"/>
        <w:rPr>
          <w:rFonts w:ascii="Times New Roman" w:hAnsi="Times New Roman" w:cs="Times New Roman"/>
          <w:b/>
          <w:sz w:val="24"/>
          <w:szCs w:val="24"/>
        </w:rPr>
      </w:pPr>
      <w:r w:rsidRPr="00D42D4B">
        <w:rPr>
          <w:rFonts w:ascii="Times New Roman" w:hAnsi="Times New Roman" w:cs="Times New Roman"/>
          <w:sz w:val="24"/>
          <w:szCs w:val="24"/>
        </w:rPr>
        <w:t>Fon, Performans Sunuş Raporu’nu, Sermaye Piyasası Kurulu’nun (“SPK”) 1 Temmuz 2014 tarihinde yürürlüğe giren “Bireysel Portföylerin ve Kolektif Yatırım Kuruluşlarının Performans Sunumuna, Performansa Dayalı Ücretlendirilmesine ve Kolektif Yatırım Kuruluşlarını Notlandırma ve Sıralama Faaliyetlerine İlişkin Esaslar Hakkında Tebliğ (VII-128.5</w:t>
      </w:r>
      <w:r w:rsidR="0023421B" w:rsidRPr="00D42D4B">
        <w:rPr>
          <w:rFonts w:ascii="Times New Roman" w:hAnsi="Times New Roman" w:cs="Times New Roman"/>
          <w:sz w:val="24"/>
          <w:szCs w:val="24"/>
        </w:rPr>
        <w:t>)” inin</w:t>
      </w:r>
      <w:r w:rsidRPr="00D42D4B">
        <w:rPr>
          <w:rFonts w:ascii="Times New Roman" w:hAnsi="Times New Roman" w:cs="Times New Roman"/>
          <w:sz w:val="24"/>
          <w:szCs w:val="24"/>
        </w:rPr>
        <w:t xml:space="preserve"> (“Tebliğ”) hükümleri doğrultusunda hazırlanmıştır.</w:t>
      </w:r>
    </w:p>
    <w:p w14:paraId="0A9DBE67" w14:textId="77777777" w:rsidR="0041052D" w:rsidRPr="00275FAF" w:rsidRDefault="0041052D" w:rsidP="00D42D4B">
      <w:pPr>
        <w:pStyle w:val="ListeParagraf"/>
        <w:spacing w:after="0"/>
        <w:ind w:left="709" w:firstLine="567"/>
        <w:jc w:val="both"/>
        <w:rPr>
          <w:rFonts w:ascii="Times New Roman" w:hAnsi="Times New Roman" w:cs="Times New Roman"/>
          <w:b/>
          <w:sz w:val="24"/>
          <w:szCs w:val="24"/>
        </w:rPr>
      </w:pPr>
    </w:p>
    <w:p w14:paraId="609E1FFA" w14:textId="35A1C1CC" w:rsidR="00275FAF" w:rsidRPr="00D42D4B" w:rsidRDefault="00275FAF" w:rsidP="00D42D4B">
      <w:pPr>
        <w:spacing w:after="0"/>
        <w:ind w:left="709" w:firstLine="567"/>
        <w:jc w:val="both"/>
        <w:rPr>
          <w:rFonts w:ascii="Times New Roman" w:hAnsi="Times New Roman" w:cs="Times New Roman"/>
          <w:sz w:val="24"/>
          <w:szCs w:val="24"/>
        </w:rPr>
      </w:pPr>
      <w:r w:rsidRPr="00D42D4B">
        <w:rPr>
          <w:rFonts w:ascii="Times New Roman" w:hAnsi="Times New Roman" w:cs="Times New Roman"/>
          <w:sz w:val="24"/>
          <w:szCs w:val="24"/>
        </w:rPr>
        <w:t>Yatırımcılar Fon’a yatırım yapmadan önce Fon’la ilgili temel yatırım risklerini değerlendirmelidirler. Fon’un maruz kalabileceği temel risklerden kaynaklanabilecek değişimler sonucunda Fon birim pay fiyatındaki olası düşüşlere bağlı olarak yatırımlarının değerinin başlangıç değerinin altına düşebileceğini yatırımcılar göz önünde bulundurmalıdırlar. Fon’un</w:t>
      </w:r>
      <w:r w:rsidR="001B1C6E" w:rsidRPr="00D42D4B">
        <w:rPr>
          <w:rFonts w:ascii="Times New Roman" w:hAnsi="Times New Roman" w:cs="Times New Roman"/>
          <w:sz w:val="24"/>
          <w:szCs w:val="24"/>
        </w:rPr>
        <w:t xml:space="preserve"> maruz kalabileceği riskler aşağıdaki gibidir:</w:t>
      </w:r>
    </w:p>
    <w:p w14:paraId="7070D9CD" w14:textId="77777777" w:rsidR="00BA2F1E" w:rsidRPr="00BA2F1E" w:rsidRDefault="00BA2F1E" w:rsidP="00BA2F1E">
      <w:pPr>
        <w:pStyle w:val="ListeParagraf"/>
        <w:rPr>
          <w:rFonts w:ascii="Times New Roman" w:hAnsi="Times New Roman" w:cs="Times New Roman"/>
          <w:sz w:val="24"/>
          <w:szCs w:val="24"/>
        </w:rPr>
      </w:pPr>
    </w:p>
    <w:p w14:paraId="715241D2" w14:textId="77777777" w:rsidR="00D42D4B"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Piyasa Riski:</w:t>
      </w:r>
      <w:r w:rsidRPr="00BA2F1E">
        <w:rPr>
          <w:rFonts w:ascii="Times New Roman" w:hAnsi="Times New Roman"/>
          <w:sz w:val="24"/>
          <w:szCs w:val="24"/>
        </w:rPr>
        <w:t xml:space="preserve"> Piyasa riski ile borçlanmayı temsil eden finansal araçların, ortaklık paylarının, diğer menkul kıymetlerin, döviz ve dövize endeksli finansal araçlara dayalı türev sözleşmelere ilişkin taşınan pozisyonların değerinde, faiz oranları, ortaklık payı fiyatları ve döviz kurlarındaki dalgalanmalar nedeniyle meydana gelebilecek zarar riski ifade edilmektedir. Söz konusu risklerin detaylarına aşağıda yer verilmektedir:</w:t>
      </w:r>
    </w:p>
    <w:p w14:paraId="7BB40CA6" w14:textId="77777777" w:rsidR="00D42D4B" w:rsidRPr="00D42D4B" w:rsidRDefault="00D42D4B" w:rsidP="00D42D4B">
      <w:pPr>
        <w:pStyle w:val="ListeParagraf"/>
        <w:rPr>
          <w:rFonts w:ascii="Times New Roman" w:hAnsi="Times New Roman"/>
          <w:sz w:val="24"/>
          <w:szCs w:val="24"/>
        </w:rPr>
      </w:pPr>
    </w:p>
    <w:p w14:paraId="6251F883" w14:textId="5160B802" w:rsidR="00BA2F1E" w:rsidRPr="00CE6762" w:rsidRDefault="00BA2F1E" w:rsidP="00CE6762">
      <w:pPr>
        <w:pStyle w:val="ListeParagraf"/>
        <w:numPr>
          <w:ilvl w:val="0"/>
          <w:numId w:val="9"/>
        </w:numPr>
        <w:ind w:left="1134" w:firstLine="0"/>
        <w:jc w:val="both"/>
        <w:rPr>
          <w:rFonts w:ascii="Times New Roman" w:hAnsi="Times New Roman"/>
          <w:sz w:val="24"/>
          <w:szCs w:val="24"/>
        </w:rPr>
      </w:pPr>
      <w:r w:rsidRPr="00CE6762">
        <w:rPr>
          <w:rFonts w:ascii="Times New Roman" w:hAnsi="Times New Roman"/>
          <w:b/>
          <w:sz w:val="24"/>
          <w:szCs w:val="24"/>
        </w:rPr>
        <w:t>Faiz Oranı Riski</w:t>
      </w:r>
      <w:r w:rsidRPr="00CE6762">
        <w:rPr>
          <w:rFonts w:ascii="Times New Roman" w:hAnsi="Times New Roman"/>
          <w:sz w:val="24"/>
          <w:szCs w:val="24"/>
        </w:rPr>
        <w:t xml:space="preserve">: Fon portföyüne faize dayalı varlıkların (borçlanma aracı, ters repo </w:t>
      </w:r>
      <w:proofErr w:type="spellStart"/>
      <w:r w:rsidRPr="00CE6762">
        <w:rPr>
          <w:rFonts w:ascii="Times New Roman" w:hAnsi="Times New Roman"/>
          <w:sz w:val="24"/>
          <w:szCs w:val="24"/>
        </w:rPr>
        <w:t>vb</w:t>
      </w:r>
      <w:proofErr w:type="spellEnd"/>
      <w:r w:rsidRPr="00CE6762">
        <w:rPr>
          <w:rFonts w:ascii="Times New Roman" w:hAnsi="Times New Roman"/>
          <w:sz w:val="24"/>
          <w:szCs w:val="24"/>
        </w:rPr>
        <w:t xml:space="preserve">) dahil edilmesi halinde, söz konuş varlıkların değerinde piyasalarda yaşanabilecek faiz oranları değişimleri nedeniyle oluşan riski ifade eder. </w:t>
      </w:r>
    </w:p>
    <w:p w14:paraId="7DB79526" w14:textId="4E4B15AF" w:rsidR="00BA2F1E" w:rsidRPr="00CE6762" w:rsidRDefault="00BA2F1E" w:rsidP="00CE6762">
      <w:pPr>
        <w:pStyle w:val="ListeParagraf"/>
        <w:numPr>
          <w:ilvl w:val="0"/>
          <w:numId w:val="9"/>
        </w:numPr>
        <w:ind w:left="1134" w:firstLine="0"/>
        <w:jc w:val="both"/>
        <w:rPr>
          <w:rFonts w:ascii="Times New Roman" w:hAnsi="Times New Roman"/>
          <w:sz w:val="24"/>
          <w:szCs w:val="24"/>
        </w:rPr>
      </w:pPr>
      <w:r w:rsidRPr="00CE6762">
        <w:rPr>
          <w:rFonts w:ascii="Times New Roman" w:hAnsi="Times New Roman"/>
          <w:b/>
          <w:sz w:val="24"/>
          <w:szCs w:val="24"/>
        </w:rPr>
        <w:t xml:space="preserve">Kur Riski: </w:t>
      </w:r>
      <w:r w:rsidRPr="00CE6762">
        <w:rPr>
          <w:rFonts w:ascii="Times New Roman" w:hAnsi="Times New Roman"/>
          <w:sz w:val="24"/>
          <w:szCs w:val="24"/>
        </w:rPr>
        <w:t xml:space="preserve">Fon portföyüne yabancı para cinsinden varlıkların dahil edilmesi halinde, döviz kurlarında meydana gelebilecek değişiklikler nedeniyle Fon’un maruz kalacağı zarar olasılığını ifade etmektedir. </w:t>
      </w:r>
    </w:p>
    <w:p w14:paraId="06E1D1A9" w14:textId="357B7B6B" w:rsidR="00BA2F1E" w:rsidRPr="00CE6762" w:rsidRDefault="00BA2F1E" w:rsidP="00CE6762">
      <w:pPr>
        <w:pStyle w:val="ListeParagraf"/>
        <w:numPr>
          <w:ilvl w:val="0"/>
          <w:numId w:val="9"/>
        </w:numPr>
        <w:ind w:left="1134" w:firstLine="0"/>
        <w:jc w:val="both"/>
        <w:rPr>
          <w:rFonts w:ascii="Times New Roman" w:hAnsi="Times New Roman"/>
          <w:sz w:val="24"/>
          <w:szCs w:val="24"/>
        </w:rPr>
      </w:pPr>
      <w:r w:rsidRPr="00CE6762">
        <w:rPr>
          <w:rFonts w:ascii="Times New Roman" w:hAnsi="Times New Roman"/>
          <w:b/>
          <w:sz w:val="24"/>
          <w:szCs w:val="24"/>
        </w:rPr>
        <w:t>Ortaklık Payı Fiyat Riski:</w:t>
      </w:r>
      <w:r w:rsidRPr="00CE6762">
        <w:rPr>
          <w:rFonts w:ascii="Times New Roman" w:hAnsi="Times New Roman"/>
          <w:sz w:val="24"/>
          <w:szCs w:val="24"/>
        </w:rPr>
        <w:t xml:space="preserve"> Fon portföyüne ortaklık payı dahil edilmesi halinde, Fon portföyünde bulunan ortaklık paylarının fiyatlarında meydana gelebilecek değişiklikler nedeniyle portföyün maruz kalacağı zarar olasılığını ifade etmektedir. </w:t>
      </w:r>
    </w:p>
    <w:p w14:paraId="203507CE" w14:textId="334D53C3" w:rsidR="00BA2F1E" w:rsidRDefault="00BA2F1E" w:rsidP="00CE6762">
      <w:pPr>
        <w:pStyle w:val="ListeParagraf"/>
        <w:numPr>
          <w:ilvl w:val="0"/>
          <w:numId w:val="9"/>
        </w:numPr>
        <w:ind w:left="1134" w:firstLine="0"/>
        <w:jc w:val="both"/>
        <w:rPr>
          <w:rFonts w:ascii="Times New Roman" w:hAnsi="Times New Roman"/>
          <w:sz w:val="24"/>
          <w:szCs w:val="24"/>
        </w:rPr>
      </w:pPr>
      <w:r w:rsidRPr="00CE6762">
        <w:rPr>
          <w:rFonts w:ascii="Times New Roman" w:hAnsi="Times New Roman"/>
          <w:b/>
          <w:sz w:val="24"/>
          <w:szCs w:val="24"/>
        </w:rPr>
        <w:t>Kar Payı Oranı Riski:</w:t>
      </w:r>
      <w:r w:rsidRPr="00CE6762">
        <w:rPr>
          <w:rFonts w:ascii="Times New Roman" w:hAnsi="Times New Roman"/>
          <w:sz w:val="24"/>
          <w:szCs w:val="24"/>
        </w:rPr>
        <w:t xml:space="preserve"> Fon portföyüne kara katılıma dayalı varlıkların (katılma hesabı, kira sertifikaları vb.) dahil edilmesi halinde, söz konusu varlıkların değerinde piyasalarda yaşanabilecek </w:t>
      </w:r>
      <w:proofErr w:type="gramStart"/>
      <w:r w:rsidRPr="00CE6762">
        <w:rPr>
          <w:rFonts w:ascii="Times New Roman" w:hAnsi="Times New Roman"/>
          <w:sz w:val="24"/>
          <w:szCs w:val="24"/>
        </w:rPr>
        <w:t>kar</w:t>
      </w:r>
      <w:proofErr w:type="gramEnd"/>
      <w:r w:rsidRPr="00CE6762">
        <w:rPr>
          <w:rFonts w:ascii="Times New Roman" w:hAnsi="Times New Roman"/>
          <w:sz w:val="24"/>
          <w:szCs w:val="24"/>
        </w:rPr>
        <w:t xml:space="preserve"> payı oranları değişimleri nedeniyle oluşan riski ifade etmektedir.  </w:t>
      </w:r>
    </w:p>
    <w:p w14:paraId="38932168" w14:textId="77777777" w:rsidR="00CE6762" w:rsidRPr="00CE6762" w:rsidRDefault="00CE6762" w:rsidP="00CE6762">
      <w:pPr>
        <w:pStyle w:val="ListeParagraf"/>
        <w:ind w:left="1134"/>
        <w:jc w:val="both"/>
        <w:rPr>
          <w:rFonts w:ascii="Times New Roman" w:hAnsi="Times New Roman"/>
          <w:sz w:val="24"/>
          <w:szCs w:val="24"/>
        </w:rPr>
      </w:pPr>
    </w:p>
    <w:p w14:paraId="1AFEB0E2" w14:textId="7D16121D" w:rsidR="00BA2F1E" w:rsidRPr="00BA2F1E" w:rsidRDefault="00BA2F1E" w:rsidP="00BA2F1E">
      <w:pPr>
        <w:pStyle w:val="ListeParagraf"/>
        <w:numPr>
          <w:ilvl w:val="0"/>
          <w:numId w:val="4"/>
        </w:numPr>
        <w:jc w:val="both"/>
        <w:rPr>
          <w:rFonts w:ascii="Times New Roman" w:hAnsi="Times New Roman"/>
          <w:bCs/>
          <w:sz w:val="24"/>
          <w:szCs w:val="24"/>
        </w:rPr>
      </w:pPr>
      <w:r w:rsidRPr="00BA2F1E">
        <w:rPr>
          <w:rFonts w:ascii="Times New Roman" w:hAnsi="Times New Roman"/>
          <w:b/>
          <w:sz w:val="24"/>
          <w:szCs w:val="24"/>
        </w:rPr>
        <w:t>Karşı Taraf Riski:</w:t>
      </w:r>
      <w:r w:rsidRPr="00BA2F1E">
        <w:rPr>
          <w:rFonts w:ascii="Times New Roman" w:hAnsi="Times New Roman"/>
          <w:sz w:val="24"/>
          <w:szCs w:val="24"/>
        </w:rPr>
        <w:t xml:space="preserve"> Karşı tarafın sözleşmeden kaynaklanan yükümlülüklerini yerine getirmek istememesi ve/veya yerine getirememesi veya takas işlemlerinde ortaya çıkan aksaklıklar sonucunda ödemenin yapılamaması riskini ifade etmektedir. </w:t>
      </w:r>
    </w:p>
    <w:p w14:paraId="52C1D9D2" w14:textId="77777777" w:rsidR="00BA2F1E" w:rsidRPr="00BA2F1E" w:rsidRDefault="00BA2F1E" w:rsidP="00BA2F1E">
      <w:pPr>
        <w:pStyle w:val="ListeParagraf"/>
        <w:jc w:val="both"/>
        <w:rPr>
          <w:rFonts w:ascii="Times New Roman" w:hAnsi="Times New Roman"/>
          <w:bCs/>
          <w:sz w:val="24"/>
          <w:szCs w:val="24"/>
        </w:rPr>
      </w:pPr>
    </w:p>
    <w:p w14:paraId="37D48CE4" w14:textId="71CE2DB8" w:rsid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lastRenderedPageBreak/>
        <w:t>Likidite Riski:</w:t>
      </w:r>
      <w:r w:rsidRPr="00BA2F1E">
        <w:rPr>
          <w:rFonts w:ascii="Times New Roman" w:hAnsi="Times New Roman"/>
          <w:sz w:val="24"/>
          <w:szCs w:val="24"/>
        </w:rPr>
        <w:t xml:space="preserve"> Fon portföyünde bulunan finansal varlıkların istenildiği anda piyasa fiyatından nakde dönüştürülememesi halinde ortaya çıkan zarar olasılığıdır.</w:t>
      </w:r>
    </w:p>
    <w:p w14:paraId="22680950" w14:textId="77777777" w:rsidR="00BA2F1E" w:rsidRPr="00BA2F1E" w:rsidRDefault="00BA2F1E" w:rsidP="00BA2F1E">
      <w:pPr>
        <w:pStyle w:val="ListeParagraf"/>
        <w:rPr>
          <w:rFonts w:ascii="Times New Roman" w:hAnsi="Times New Roman"/>
          <w:sz w:val="24"/>
          <w:szCs w:val="24"/>
        </w:rPr>
      </w:pPr>
    </w:p>
    <w:p w14:paraId="702DE8E8" w14:textId="6146C229" w:rsid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 xml:space="preserve">Kaldıraç Yaratan İşlem Riski: </w:t>
      </w:r>
      <w:r w:rsidRPr="00BA2F1E">
        <w:rPr>
          <w:rFonts w:ascii="Times New Roman" w:hAnsi="Times New Roman"/>
          <w:sz w:val="24"/>
          <w:szCs w:val="24"/>
        </w:rPr>
        <w:t>Fon portföyüne türev araç (vadeli işlem ve opsiyon sözleşmeleri), saklı türev araç, swap sözleşmesi, varant, sertifika dahil edilmesi, ileri valörlü tahvil/bono ve altın alım işlemlerinde ve diğer herhangi bir yöntemle kaldıraç yaratan benzeri işlemlerde bulunulması halinde, başlangıç yatırımı ile başlangıç yatırımının üzerinde pozisyon alınması sebebi ile fonun başlangıç yatırımından daha yüksek zarar kaydedebilme olasılığı kaldıraç riskini ifade eder.</w:t>
      </w:r>
    </w:p>
    <w:p w14:paraId="1E6357C8" w14:textId="77777777" w:rsidR="00BA2F1E" w:rsidRPr="00BA2F1E" w:rsidRDefault="00BA2F1E" w:rsidP="00BA2F1E">
      <w:pPr>
        <w:pStyle w:val="ListeParagraf"/>
        <w:rPr>
          <w:rFonts w:ascii="Times New Roman" w:hAnsi="Times New Roman"/>
          <w:sz w:val="24"/>
          <w:szCs w:val="24"/>
        </w:rPr>
      </w:pPr>
    </w:p>
    <w:p w14:paraId="2C4D0392" w14:textId="0FB60DCC" w:rsid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Operasyonel Risk</w:t>
      </w:r>
      <w:r w:rsidRPr="00BA2F1E">
        <w:rPr>
          <w:rFonts w:ascii="Times New Roman" w:hAnsi="Times New Roman"/>
          <w:sz w:val="24"/>
          <w:szCs w:val="24"/>
        </w:rPr>
        <w:t>: Operasyonel risk, fonun operasyonel süreçlerindeki aksamalar sonucunda zarar oluşması olasılığını ifade eder. Operasyonel riskin kaynakları arasında kullanılan sistemlerin yetersizliği, başarısız yönetim, personelin hatalı ya da hileli işlemleri gibi kurum içi etkenlerin yanı sıra doğal afetler, rekabet koşulları, politik rejim değişikliği gibi kurum dışı etkenler de olabilir.</w:t>
      </w:r>
    </w:p>
    <w:p w14:paraId="5982710E" w14:textId="77777777" w:rsidR="00BA2F1E" w:rsidRPr="00BA2F1E" w:rsidRDefault="00BA2F1E" w:rsidP="00BA2F1E">
      <w:pPr>
        <w:pStyle w:val="ListeParagraf"/>
        <w:rPr>
          <w:rFonts w:ascii="Times New Roman" w:hAnsi="Times New Roman"/>
          <w:sz w:val="24"/>
          <w:szCs w:val="24"/>
        </w:rPr>
      </w:pPr>
    </w:p>
    <w:p w14:paraId="218EB21C" w14:textId="511F05C4" w:rsid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Yoğunlaşma Riski:</w:t>
      </w:r>
      <w:r w:rsidRPr="00BA2F1E">
        <w:rPr>
          <w:rFonts w:ascii="Times New Roman" w:hAnsi="Times New Roman"/>
          <w:sz w:val="24"/>
          <w:szCs w:val="24"/>
        </w:rPr>
        <w:t xml:space="preserve"> Belli bir varlığa ve/veya vadeye yoğun yatırım yapılması sonucu fonun bu varlığın ve vadenin içerdiği risklere maruz kalmasıdır.</w:t>
      </w:r>
    </w:p>
    <w:p w14:paraId="11E9CE08" w14:textId="77777777" w:rsidR="00BA2F1E" w:rsidRPr="00BA2F1E" w:rsidRDefault="00BA2F1E" w:rsidP="00BA2F1E">
      <w:pPr>
        <w:pStyle w:val="ListeParagraf"/>
        <w:rPr>
          <w:rFonts w:ascii="Times New Roman" w:hAnsi="Times New Roman"/>
          <w:sz w:val="24"/>
          <w:szCs w:val="24"/>
        </w:rPr>
      </w:pPr>
    </w:p>
    <w:p w14:paraId="7A53AD3E" w14:textId="35BE3063" w:rsid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Korelasyon Riski:</w:t>
      </w:r>
      <w:r w:rsidRPr="00BA2F1E">
        <w:rPr>
          <w:rFonts w:ascii="Times New Roman" w:hAnsi="Times New Roman"/>
          <w:sz w:val="24"/>
          <w:szCs w:val="24"/>
        </w:rPr>
        <w:t xml:space="preserve"> Farklı finansal varlıkların piyasa koşulları altında belirli bir zaman dilimi içerisinde aynı anda değer kazanması ya da kaybetmesine paralel olarak, en az iki farklı finansal varlığın birbirleri ile olan pozitif veya negatif yönlü ilişkileri nedeniyle doğabilecek zarar ihtimalini ifade eder.</w:t>
      </w:r>
    </w:p>
    <w:p w14:paraId="7D11A6D5" w14:textId="77777777" w:rsidR="00BA2F1E" w:rsidRPr="00BA2F1E" w:rsidRDefault="00BA2F1E" w:rsidP="00BA2F1E">
      <w:pPr>
        <w:pStyle w:val="ListeParagraf"/>
        <w:rPr>
          <w:rFonts w:ascii="Times New Roman" w:hAnsi="Times New Roman"/>
          <w:sz w:val="24"/>
          <w:szCs w:val="24"/>
        </w:rPr>
      </w:pPr>
    </w:p>
    <w:p w14:paraId="772A11E4" w14:textId="3B336523" w:rsid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Yasal Risk:</w:t>
      </w:r>
      <w:r w:rsidRPr="00BA2F1E">
        <w:rPr>
          <w:rFonts w:ascii="Times New Roman" w:hAnsi="Times New Roman"/>
          <w:sz w:val="24"/>
          <w:szCs w:val="24"/>
        </w:rPr>
        <w:t xml:space="preserve"> Fonun katılma paylarının satıldığı dönemden sonra mevzuatta ve düzenleyici otoritelerin düzenlemelerinde meydana gelebilecek değişiklerden olumsuz etkilenmesi riskidir.</w:t>
      </w:r>
    </w:p>
    <w:p w14:paraId="692A3301" w14:textId="77777777" w:rsidR="00BA2F1E" w:rsidRPr="00BA2F1E" w:rsidRDefault="00BA2F1E" w:rsidP="00BA2F1E">
      <w:pPr>
        <w:pStyle w:val="ListeParagraf"/>
        <w:rPr>
          <w:rFonts w:ascii="Times New Roman" w:hAnsi="Times New Roman"/>
          <w:sz w:val="24"/>
          <w:szCs w:val="24"/>
        </w:rPr>
      </w:pPr>
    </w:p>
    <w:p w14:paraId="23FD4719" w14:textId="73CB6C3E" w:rsid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 xml:space="preserve">İhraççı Riski: </w:t>
      </w:r>
      <w:r w:rsidRPr="00BA2F1E">
        <w:rPr>
          <w:rFonts w:ascii="Times New Roman" w:hAnsi="Times New Roman"/>
          <w:sz w:val="24"/>
          <w:szCs w:val="24"/>
        </w:rPr>
        <w:t>Fon portföyüne alınan varlıkların</w:t>
      </w:r>
      <w:r w:rsidRPr="00BA2F1E">
        <w:rPr>
          <w:rFonts w:ascii="Times New Roman" w:hAnsi="Times New Roman"/>
          <w:b/>
          <w:sz w:val="24"/>
          <w:szCs w:val="24"/>
        </w:rPr>
        <w:t xml:space="preserve"> </w:t>
      </w:r>
      <w:r w:rsidRPr="00BA2F1E">
        <w:rPr>
          <w:rFonts w:ascii="Times New Roman" w:hAnsi="Times New Roman"/>
          <w:sz w:val="24"/>
          <w:szCs w:val="24"/>
        </w:rPr>
        <w:t>ihraççısının yükümlülüklerini kısmen veya tamamen zamanında yerine getirememesi nedeniyle doğabilecek zarar ihtimalini ifade eder.</w:t>
      </w:r>
    </w:p>
    <w:p w14:paraId="6A5051C0" w14:textId="77777777" w:rsidR="00BA2F1E" w:rsidRPr="00BA2F1E" w:rsidRDefault="00BA2F1E" w:rsidP="00BA2F1E">
      <w:pPr>
        <w:pStyle w:val="ListeParagraf"/>
        <w:rPr>
          <w:rFonts w:ascii="Times New Roman" w:hAnsi="Times New Roman"/>
          <w:sz w:val="24"/>
          <w:szCs w:val="24"/>
        </w:rPr>
      </w:pPr>
    </w:p>
    <w:p w14:paraId="469D59E1" w14:textId="3E15F0CF" w:rsid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 xml:space="preserve">Teminat Riski: </w:t>
      </w:r>
      <w:r w:rsidRPr="00BA2F1E">
        <w:rPr>
          <w:rFonts w:ascii="Times New Roman" w:hAnsi="Times New Roman"/>
          <w:sz w:val="24"/>
          <w:szCs w:val="24"/>
        </w:rPr>
        <w:t>Türev araçlar üzerinden alınan bir pozisyonun güvencesi olarak alınan teminatın, zorunlu haller sebebiyle likide edilmesi halinde piyasaya göre değerleme değerinin beklenen türev pozisyon değerini karşılamaması riskidir.</w:t>
      </w:r>
    </w:p>
    <w:p w14:paraId="7D53F1E1" w14:textId="77777777" w:rsidR="00BA2F1E" w:rsidRPr="00BA2F1E" w:rsidRDefault="00BA2F1E" w:rsidP="00BA2F1E">
      <w:pPr>
        <w:pStyle w:val="ListeParagraf"/>
        <w:rPr>
          <w:rFonts w:ascii="Times New Roman" w:hAnsi="Times New Roman"/>
          <w:sz w:val="24"/>
          <w:szCs w:val="24"/>
        </w:rPr>
      </w:pPr>
    </w:p>
    <w:p w14:paraId="1D8DF7BD" w14:textId="723B924C" w:rsid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Baz Riski:</w:t>
      </w:r>
      <w:r w:rsidRPr="00BA2F1E">
        <w:rPr>
          <w:rFonts w:ascii="Times New Roman" w:hAnsi="Times New Roman"/>
          <w:sz w:val="24"/>
          <w:szCs w:val="24"/>
        </w:rPr>
        <w:t xml:space="preserve"> Vadeli işlem kontratlarının cari değeri ile sözleşme konusu finansal enstrümanın spot fiyatının aldığı değer arasındaki fiyat farklılığı değişimini ifade etmektedir. Sözleşmede belirlenen vade sonunda vadeli fiyat ile spot fiyat birbirine eşit olmaktadır. Ancak fon portföyü içerisinde yer alan ilgili vadeli finansal enstrümanlarda işlem yapılan tarih ile vade sonu arasında geçen zaman içerisinde vadeli fiyat ile spot fiyat teorik fiyatlamadan farklı olmaktadır. Dolayısı ile burada baz değerin sözleşme vadesi boyunca göstereceği riski ifade etmektedir.</w:t>
      </w:r>
    </w:p>
    <w:p w14:paraId="2A8EBECB" w14:textId="77777777" w:rsidR="00BA2F1E" w:rsidRPr="00BA2F1E" w:rsidRDefault="00BA2F1E" w:rsidP="00BA2F1E">
      <w:pPr>
        <w:pStyle w:val="ListeParagraf"/>
        <w:rPr>
          <w:rFonts w:ascii="Times New Roman" w:hAnsi="Times New Roman"/>
          <w:sz w:val="24"/>
          <w:szCs w:val="24"/>
        </w:rPr>
      </w:pPr>
    </w:p>
    <w:p w14:paraId="6A65CFD2" w14:textId="566C8EB9" w:rsidR="00BA2F1E" w:rsidRP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lastRenderedPageBreak/>
        <w:t>Opsiyon Duyarlılık Riskleri:</w:t>
      </w:r>
      <w:r w:rsidRPr="00BA2F1E">
        <w:rPr>
          <w:rFonts w:ascii="Times New Roman" w:hAnsi="Times New Roman"/>
          <w:sz w:val="24"/>
          <w:szCs w:val="24"/>
        </w:rPr>
        <w:t xml:space="preserve"> Opsiyon portföylerinde risk duyarlıkları arasında, işleme konu olan spot finansal ürün fiyat değişiminde çok farklı miktarda risk duyarlılık değişimleri yaşanabilmektedir.</w:t>
      </w:r>
    </w:p>
    <w:p w14:paraId="5EE2940A" w14:textId="750DB0B8" w:rsidR="00BA2F1E" w:rsidRPr="00BA2F1E" w:rsidRDefault="00BA2F1E" w:rsidP="00BA2F1E">
      <w:pPr>
        <w:pStyle w:val="ListeParagraf"/>
        <w:numPr>
          <w:ilvl w:val="0"/>
          <w:numId w:val="8"/>
        </w:numPr>
        <w:jc w:val="both"/>
        <w:rPr>
          <w:rFonts w:ascii="Times New Roman" w:hAnsi="Times New Roman"/>
          <w:sz w:val="24"/>
          <w:szCs w:val="24"/>
        </w:rPr>
      </w:pPr>
      <w:r w:rsidRPr="00BA2F1E">
        <w:rPr>
          <w:rFonts w:ascii="Times New Roman" w:hAnsi="Times New Roman"/>
          <w:sz w:val="24"/>
          <w:szCs w:val="24"/>
        </w:rPr>
        <w:t>Delta; opsiyonun yazıldığı ilgili finansal varlığın fiyatındaki bir birim değişmenin opsiyon priminde oluşturduğu değişimi göstermektedir.</w:t>
      </w:r>
    </w:p>
    <w:p w14:paraId="35561AED" w14:textId="527547DC" w:rsidR="00BA2F1E" w:rsidRPr="00BA2F1E" w:rsidRDefault="00BA2F1E" w:rsidP="00BA2F1E">
      <w:pPr>
        <w:pStyle w:val="ListeParagraf"/>
        <w:numPr>
          <w:ilvl w:val="0"/>
          <w:numId w:val="8"/>
        </w:numPr>
        <w:jc w:val="both"/>
        <w:rPr>
          <w:rFonts w:ascii="Times New Roman" w:hAnsi="Times New Roman"/>
          <w:sz w:val="24"/>
          <w:szCs w:val="24"/>
        </w:rPr>
      </w:pPr>
      <w:r w:rsidRPr="00BA2F1E">
        <w:rPr>
          <w:rFonts w:ascii="Times New Roman" w:hAnsi="Times New Roman"/>
          <w:sz w:val="24"/>
          <w:szCs w:val="24"/>
        </w:rPr>
        <w:t>Gamma; Opsiyonun ilgili olduğu varlığın fiyatındaki değişimin opsiyonun deltasında meydana getirdiği değişimi ölçmektedir.</w:t>
      </w:r>
    </w:p>
    <w:p w14:paraId="4353C107" w14:textId="15FB4381" w:rsidR="00BA2F1E" w:rsidRPr="00BA2F1E" w:rsidRDefault="00BA2F1E" w:rsidP="00BA2F1E">
      <w:pPr>
        <w:pStyle w:val="ListeParagraf"/>
        <w:numPr>
          <w:ilvl w:val="0"/>
          <w:numId w:val="8"/>
        </w:numPr>
        <w:jc w:val="both"/>
        <w:rPr>
          <w:rFonts w:ascii="Times New Roman" w:hAnsi="Times New Roman"/>
          <w:sz w:val="24"/>
          <w:szCs w:val="24"/>
        </w:rPr>
      </w:pPr>
      <w:proofErr w:type="spellStart"/>
      <w:r w:rsidRPr="00BA2F1E">
        <w:rPr>
          <w:rFonts w:ascii="Times New Roman" w:hAnsi="Times New Roman"/>
          <w:sz w:val="24"/>
          <w:szCs w:val="24"/>
        </w:rPr>
        <w:t>Theta</w:t>
      </w:r>
      <w:proofErr w:type="spellEnd"/>
      <w:r w:rsidRPr="00BA2F1E">
        <w:rPr>
          <w:rFonts w:ascii="Times New Roman" w:hAnsi="Times New Roman"/>
          <w:sz w:val="24"/>
          <w:szCs w:val="24"/>
        </w:rPr>
        <w:t>; Risk ölçümlerinde büyük önem taşıyan zaman faktörünü ifade eden gösterge olup, opsiyon fiyatının vadeye göre değişiminin ölçüsüdür.</w:t>
      </w:r>
    </w:p>
    <w:p w14:paraId="7F20F597" w14:textId="77D09115" w:rsidR="00BA2F1E" w:rsidRPr="00BA2F1E" w:rsidRDefault="00BA2F1E" w:rsidP="00BA2F1E">
      <w:pPr>
        <w:pStyle w:val="ListeParagraf"/>
        <w:numPr>
          <w:ilvl w:val="0"/>
          <w:numId w:val="8"/>
        </w:numPr>
        <w:jc w:val="both"/>
        <w:rPr>
          <w:rFonts w:ascii="Times New Roman" w:hAnsi="Times New Roman"/>
          <w:sz w:val="24"/>
          <w:szCs w:val="24"/>
        </w:rPr>
      </w:pPr>
      <w:proofErr w:type="spellStart"/>
      <w:r w:rsidRPr="00BA2F1E">
        <w:rPr>
          <w:rFonts w:ascii="Times New Roman" w:hAnsi="Times New Roman"/>
          <w:sz w:val="24"/>
          <w:szCs w:val="24"/>
        </w:rPr>
        <w:t>Rho</w:t>
      </w:r>
      <w:proofErr w:type="spellEnd"/>
      <w:r w:rsidRPr="00BA2F1E">
        <w:rPr>
          <w:rFonts w:ascii="Times New Roman" w:hAnsi="Times New Roman"/>
          <w:sz w:val="24"/>
          <w:szCs w:val="24"/>
        </w:rPr>
        <w:t>; Faiz oranlarındaki yüzdesel değişimin opsiyonun fiyatında oluşturduğu değişimin ölçüsüdür.</w:t>
      </w:r>
    </w:p>
    <w:p w14:paraId="2E7AB012" w14:textId="7D59F46C" w:rsidR="00BA2F1E" w:rsidRDefault="00BA2F1E" w:rsidP="00BA2F1E">
      <w:pPr>
        <w:pStyle w:val="ListeParagraf"/>
        <w:numPr>
          <w:ilvl w:val="0"/>
          <w:numId w:val="8"/>
        </w:numPr>
        <w:jc w:val="both"/>
        <w:rPr>
          <w:rFonts w:ascii="Times New Roman" w:hAnsi="Times New Roman"/>
          <w:sz w:val="24"/>
          <w:szCs w:val="24"/>
        </w:rPr>
      </w:pPr>
      <w:proofErr w:type="spellStart"/>
      <w:r w:rsidRPr="00BA2F1E">
        <w:rPr>
          <w:rFonts w:ascii="Times New Roman" w:hAnsi="Times New Roman"/>
          <w:sz w:val="24"/>
          <w:szCs w:val="24"/>
        </w:rPr>
        <w:t>Vega</w:t>
      </w:r>
      <w:proofErr w:type="spellEnd"/>
      <w:r w:rsidRPr="00BA2F1E">
        <w:rPr>
          <w:rFonts w:ascii="Times New Roman" w:hAnsi="Times New Roman"/>
          <w:sz w:val="24"/>
          <w:szCs w:val="24"/>
        </w:rPr>
        <w:t xml:space="preserve">; Opsiyonun dayandığı varlığın fiyat </w:t>
      </w:r>
      <w:proofErr w:type="spellStart"/>
      <w:r w:rsidRPr="00BA2F1E">
        <w:rPr>
          <w:rFonts w:ascii="Times New Roman" w:hAnsi="Times New Roman"/>
          <w:sz w:val="24"/>
          <w:szCs w:val="24"/>
        </w:rPr>
        <w:t>dalgalanırlığındaki</w:t>
      </w:r>
      <w:proofErr w:type="spellEnd"/>
      <w:r w:rsidRPr="00BA2F1E">
        <w:rPr>
          <w:rFonts w:ascii="Times New Roman" w:hAnsi="Times New Roman"/>
          <w:sz w:val="24"/>
          <w:szCs w:val="24"/>
        </w:rPr>
        <w:t xml:space="preserve"> birim değişimin opsiyon priminde oluşturduğu değişimdir.</w:t>
      </w:r>
    </w:p>
    <w:p w14:paraId="7F02C2CD" w14:textId="77777777" w:rsidR="00BA2F1E" w:rsidRPr="00BA2F1E" w:rsidRDefault="00BA2F1E" w:rsidP="00BA2F1E">
      <w:pPr>
        <w:pStyle w:val="ListeParagraf"/>
        <w:jc w:val="both"/>
        <w:rPr>
          <w:rFonts w:ascii="Times New Roman" w:hAnsi="Times New Roman"/>
          <w:sz w:val="24"/>
          <w:szCs w:val="24"/>
        </w:rPr>
      </w:pPr>
    </w:p>
    <w:p w14:paraId="33C17317" w14:textId="6AC48D1C" w:rsid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Yapılandırılmış Yatırım/Borçlanma Araçları Riskleri:</w:t>
      </w:r>
      <w:r w:rsidRPr="00BA2F1E">
        <w:rPr>
          <w:rFonts w:ascii="Times New Roman" w:hAnsi="Times New Roman"/>
          <w:sz w:val="24"/>
          <w:szCs w:val="24"/>
        </w:rPr>
        <w:t xml:space="preserve"> Yapılandırılmış yatırım /borçlanma araçlarının değeri ve dönem sonu getirisi faiz ödemesinin yanında dayanak varlığın piyasa performansına bağlıdır. Yapılandırılmış yatırım/borçlanma araçlarının dayanak varlıkları üzerine oluşturulan stratejilerin getirisinin ilgili dönemde negatif olması halinde, yatırımcı vade sonunda hiçbir itfa geliri elde edemeyeceği gibi, performansla orantılı olarak vade sonunda elde edilen itfa tutarı nominal değerden daha düşük de olabilir.</w:t>
      </w:r>
    </w:p>
    <w:p w14:paraId="1F68F6F3" w14:textId="10D56A5C" w:rsidR="00BA2F1E" w:rsidRPr="00BA2F1E" w:rsidRDefault="00BA2F1E" w:rsidP="00D42D4B">
      <w:pPr>
        <w:ind w:left="708" w:firstLine="426"/>
        <w:jc w:val="both"/>
        <w:rPr>
          <w:rFonts w:ascii="Times New Roman" w:hAnsi="Times New Roman"/>
          <w:sz w:val="24"/>
          <w:szCs w:val="24"/>
        </w:rPr>
      </w:pPr>
      <w:r w:rsidRPr="00BA2F1E">
        <w:rPr>
          <w:rFonts w:ascii="Times New Roman" w:hAnsi="Times New Roman"/>
          <w:sz w:val="24"/>
          <w:szCs w:val="24"/>
        </w:rPr>
        <w:t>Bununla birlikte, Yapılandırılmış yatırım/borçlanma araçlarının günlük fiyat oluşumunda piyasa faizlerinde yaşanabilecek değişimler ve dayanak varlık fiyat değişimleri de etkili olabilmektedir. Piyasa faizlerinde ve dayanak varlık fiyatında yaşanabilecek dalgalanmalar Yapılandırılmış Yatırım/Borçlanma Araçlarının günlük değerlemesini etkileyebilmektedir. Fonun Riske Maruz Değer (RMD) hesaplamalarında türev araçlarla birlikte Yapılandırılmış yatırım/borçlanma araçlarından kaynaklanan piyasa riskleri de dikkate alınır.</w:t>
      </w:r>
    </w:p>
    <w:p w14:paraId="18D68798" w14:textId="2463F9EE" w:rsidR="00BA2F1E" w:rsidRPr="00BA2F1E" w:rsidRDefault="00BA2F1E" w:rsidP="00D42D4B">
      <w:pPr>
        <w:ind w:left="708" w:firstLine="426"/>
        <w:jc w:val="both"/>
        <w:rPr>
          <w:rFonts w:ascii="Times New Roman" w:hAnsi="Times New Roman"/>
          <w:sz w:val="24"/>
          <w:szCs w:val="24"/>
        </w:rPr>
      </w:pPr>
      <w:r w:rsidRPr="00BA2F1E">
        <w:rPr>
          <w:rFonts w:ascii="Times New Roman" w:hAnsi="Times New Roman"/>
          <w:sz w:val="24"/>
          <w:szCs w:val="24"/>
        </w:rPr>
        <w:t>Yapılandırılmış yatırım/borçlanma araçları yatırımı yapılması halinde karşı taraf riski de mevcuttur. Karşı taraf riski, ihraççı kurumun Yapılandırılmış yatırım/borçlanma aracından kaynaklanan yükümlülüklerini yerine getirememe riskini ifade eder. Karşı taraf riskini minimum seviyede tutabilmek adına, Yapılandırılmış yatırım/borçlanma araçları yatırımlarında ihraççının ve/veya varsa yatırım aracının Fon Tebliği’nin 32’nci maddesinde belirtilen derecelendirme notuna sahip olması koşulu aranır.</w:t>
      </w:r>
    </w:p>
    <w:p w14:paraId="791C9859" w14:textId="5F77CC08" w:rsid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Açığa Satış Riski:</w:t>
      </w:r>
      <w:r w:rsidRPr="00BA2F1E">
        <w:rPr>
          <w:rFonts w:ascii="Times New Roman" w:hAnsi="Times New Roman"/>
          <w:sz w:val="24"/>
          <w:szCs w:val="24"/>
        </w:rPr>
        <w:t xml:space="preserve"> Fon Portföyü içerisinden açığa satım yapılacak olan ilgili finansal enstrümanlarda piyasa likiditesinin daralması dolayısı ile ödünç karşılığı ve/veya doğrudan açığa satım imkanlarının azalması durumunu ifade etmektedir.</w:t>
      </w:r>
    </w:p>
    <w:p w14:paraId="2069310B" w14:textId="77777777" w:rsidR="00BA2F1E" w:rsidRPr="00BA2F1E" w:rsidRDefault="00BA2F1E" w:rsidP="00BA2F1E">
      <w:pPr>
        <w:pStyle w:val="ListeParagraf"/>
        <w:rPr>
          <w:rFonts w:ascii="Times New Roman" w:hAnsi="Times New Roman"/>
          <w:sz w:val="24"/>
          <w:szCs w:val="24"/>
        </w:rPr>
      </w:pPr>
    </w:p>
    <w:p w14:paraId="590D8F22" w14:textId="1D61F7B7" w:rsid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İşlemin Sonuçlandırılamaması Riski:</w:t>
      </w:r>
      <w:r w:rsidRPr="00BA2F1E">
        <w:rPr>
          <w:rFonts w:ascii="Times New Roman" w:hAnsi="Times New Roman"/>
          <w:sz w:val="24"/>
          <w:szCs w:val="24"/>
        </w:rPr>
        <w:t xml:space="preserve"> Olağanüstü koşullar nedeniyle ödeme ve takas sistemlerindeki bozulmanın, durmanın, çökmenin yarattığı risktir.</w:t>
      </w:r>
    </w:p>
    <w:p w14:paraId="1CCFAD3A" w14:textId="77777777" w:rsidR="00BA2F1E" w:rsidRPr="00BA2F1E" w:rsidRDefault="00BA2F1E" w:rsidP="00BA2F1E">
      <w:pPr>
        <w:pStyle w:val="ListeParagraf"/>
        <w:rPr>
          <w:rFonts w:ascii="Times New Roman" w:hAnsi="Times New Roman"/>
          <w:sz w:val="24"/>
          <w:szCs w:val="24"/>
        </w:rPr>
      </w:pPr>
    </w:p>
    <w:p w14:paraId="7838EE7B" w14:textId="2DF9FE82" w:rsid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lastRenderedPageBreak/>
        <w:t>Etik Risk:</w:t>
      </w:r>
      <w:r w:rsidRPr="00BA2F1E">
        <w:rPr>
          <w:rFonts w:ascii="Times New Roman" w:hAnsi="Times New Roman"/>
          <w:sz w:val="24"/>
          <w:szCs w:val="24"/>
        </w:rPr>
        <w:t xml:space="preserve"> Dolandırıcılık, suistimal, zimmete para geçirme, hırsızlık gibi nedenler ile Fon’u zarara uğratabilecek kasıtlı eylemler ya da </w:t>
      </w:r>
      <w:proofErr w:type="spellStart"/>
      <w:r w:rsidRPr="00BA2F1E">
        <w:rPr>
          <w:rFonts w:ascii="Times New Roman" w:hAnsi="Times New Roman"/>
          <w:sz w:val="24"/>
          <w:szCs w:val="24"/>
        </w:rPr>
        <w:t>Kurucu’nun</w:t>
      </w:r>
      <w:proofErr w:type="spellEnd"/>
      <w:r w:rsidRPr="00BA2F1E">
        <w:rPr>
          <w:rFonts w:ascii="Times New Roman" w:hAnsi="Times New Roman"/>
          <w:sz w:val="24"/>
          <w:szCs w:val="24"/>
        </w:rPr>
        <w:t xml:space="preserve"> itibarını olumsuz etkileyecek suçların (örneğin, kara para aklanması) işlenmesi riskidir.</w:t>
      </w:r>
    </w:p>
    <w:p w14:paraId="6BE4C7BF" w14:textId="77777777" w:rsidR="00BA2F1E" w:rsidRPr="00BA2F1E" w:rsidRDefault="00BA2F1E" w:rsidP="00BA2F1E">
      <w:pPr>
        <w:pStyle w:val="ListeParagraf"/>
        <w:rPr>
          <w:rFonts w:ascii="Times New Roman" w:hAnsi="Times New Roman"/>
          <w:sz w:val="24"/>
          <w:szCs w:val="24"/>
        </w:rPr>
      </w:pPr>
    </w:p>
    <w:p w14:paraId="3B21CA70" w14:textId="7FC75C08" w:rsid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Veri Güvenilirliği Riski</w:t>
      </w:r>
      <w:r w:rsidRPr="00BA2F1E">
        <w:rPr>
          <w:rFonts w:ascii="Times New Roman" w:hAnsi="Times New Roman"/>
          <w:sz w:val="24"/>
          <w:szCs w:val="24"/>
        </w:rPr>
        <w:t>: Finansal veya finansal olmayan işlemlerin kayıtlara alınması veya raporlanmasında yanlışlık ve eksiklikler bulunması, zamanlamasında gecikmeler oluşmasından kaynaklanan risktir.</w:t>
      </w:r>
    </w:p>
    <w:p w14:paraId="30531186" w14:textId="77777777" w:rsidR="00BA2F1E" w:rsidRPr="00BA2F1E" w:rsidRDefault="00BA2F1E" w:rsidP="00BA2F1E">
      <w:pPr>
        <w:pStyle w:val="ListeParagraf"/>
        <w:rPr>
          <w:rFonts w:ascii="Times New Roman" w:hAnsi="Times New Roman"/>
          <w:sz w:val="24"/>
          <w:szCs w:val="24"/>
        </w:rPr>
      </w:pPr>
    </w:p>
    <w:p w14:paraId="1A5FF7F1" w14:textId="7F3C8B5D" w:rsid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 xml:space="preserve">Kıymetli Maden ve Emtia Fiyat Riski: </w:t>
      </w:r>
      <w:r w:rsidRPr="00BA2F1E">
        <w:rPr>
          <w:rFonts w:ascii="Times New Roman" w:hAnsi="Times New Roman"/>
          <w:sz w:val="24"/>
          <w:szCs w:val="24"/>
        </w:rPr>
        <w:t xml:space="preserve">Fon portföyüne kıymetli madenler ve kıymetli maden veya emtiaya dayalı sermaye piyasası aracı dahil edilmesi halinde, kıymetli madenlerin veya </w:t>
      </w:r>
      <w:proofErr w:type="spellStart"/>
      <w:r w:rsidRPr="00BA2F1E">
        <w:rPr>
          <w:rFonts w:ascii="Times New Roman" w:hAnsi="Times New Roman"/>
          <w:sz w:val="24"/>
          <w:szCs w:val="24"/>
        </w:rPr>
        <w:t>emtiaların</w:t>
      </w:r>
      <w:proofErr w:type="spellEnd"/>
      <w:r w:rsidRPr="00BA2F1E">
        <w:rPr>
          <w:rFonts w:ascii="Times New Roman" w:hAnsi="Times New Roman"/>
          <w:sz w:val="24"/>
          <w:szCs w:val="24"/>
        </w:rPr>
        <w:t xml:space="preserve"> fiyatlarında meydana gelebilecek değişiklikler nedeniyle portföyün maruz kalacağı zarar olasılığını ifade etmektedir.</w:t>
      </w:r>
    </w:p>
    <w:p w14:paraId="3F0E6612" w14:textId="77777777" w:rsidR="00BA2F1E" w:rsidRPr="00BA2F1E" w:rsidRDefault="00BA2F1E" w:rsidP="00BA2F1E">
      <w:pPr>
        <w:pStyle w:val="ListeParagraf"/>
        <w:rPr>
          <w:rFonts w:ascii="Times New Roman" w:hAnsi="Times New Roman"/>
          <w:sz w:val="24"/>
          <w:szCs w:val="24"/>
        </w:rPr>
      </w:pPr>
    </w:p>
    <w:p w14:paraId="6EB79670" w14:textId="589D9710" w:rsidR="00BA2F1E" w:rsidRP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Diğer Riskler:</w:t>
      </w:r>
      <w:r w:rsidRPr="00BA2F1E">
        <w:rPr>
          <w:rFonts w:ascii="Times New Roman" w:hAnsi="Times New Roman"/>
          <w:sz w:val="24"/>
          <w:szCs w:val="24"/>
        </w:rPr>
        <w:t xml:space="preserve"> Fon’a yatırım yapan yatırımcılar piyasalarda yaşanan dalgalanmalar, piyasa koşulları ve mevzuat değişikliklerine uyum sebebiyle para kaybedebilirler. Fon’un portföyündeki varlıkların değeri olumlu ve/veya olumsuz yönde değişim gösterebilir. Yatırım yapılan tüm menkul kıymetler ve türev araç yatırımları sermaye kaybı riski taşır. Kaldıraçlı işlemler risklerin önemli ölçüde artmasına neden olabilir. Fon tarafından öngörülen çeşitli menkul kıymetlere ve diğer araçlara yatırım yapılması önemli ekonomik riskler içerir. Fon yatırım programının söz konusu yatırımı elinde bulundurmanın taşıdığı zarar riskine karşı koruma sağlaması beklense de bu stratejilerin bu riske karşı tam koruma sağlayacağı ya da Fonun hedeflenen kazanca ulaşılacağı konusunda hiçbir güvence söz konusu değildir.</w:t>
      </w:r>
    </w:p>
    <w:p w14:paraId="2D3D9A41" w14:textId="77777777" w:rsidR="001B1C6E" w:rsidRPr="00CD7184" w:rsidRDefault="001B1C6E" w:rsidP="001B1C6E">
      <w:pPr>
        <w:pStyle w:val="ListeParagraf"/>
        <w:spacing w:after="0"/>
        <w:jc w:val="both"/>
        <w:rPr>
          <w:rFonts w:ascii="Times New Roman" w:hAnsi="Times New Roman" w:cs="Times New Roman"/>
          <w:sz w:val="24"/>
          <w:szCs w:val="24"/>
        </w:rPr>
      </w:pPr>
    </w:p>
    <w:sectPr w:rsidR="001B1C6E" w:rsidRPr="00CD7184" w:rsidSect="008A60CB">
      <w:head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ADA9AE" w14:textId="77777777" w:rsidR="00EE1326" w:rsidRDefault="00EE1326" w:rsidP="00A05B08">
      <w:pPr>
        <w:spacing w:after="0" w:line="240" w:lineRule="auto"/>
      </w:pPr>
      <w:r>
        <w:separator/>
      </w:r>
    </w:p>
  </w:endnote>
  <w:endnote w:type="continuationSeparator" w:id="0">
    <w:p w14:paraId="63037180" w14:textId="77777777" w:rsidR="00EE1326" w:rsidRDefault="00EE1326" w:rsidP="00A0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ansSerif">
    <w:altName w:val="Cambria"/>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A379BD" w14:textId="77777777" w:rsidR="00EE1326" w:rsidRDefault="00EE1326" w:rsidP="00A05B08">
      <w:pPr>
        <w:spacing w:after="0" w:line="240" w:lineRule="auto"/>
      </w:pPr>
      <w:r>
        <w:separator/>
      </w:r>
    </w:p>
  </w:footnote>
  <w:footnote w:type="continuationSeparator" w:id="0">
    <w:p w14:paraId="051765F4" w14:textId="77777777" w:rsidR="00EE1326" w:rsidRDefault="00EE1326" w:rsidP="00A05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9797E" w14:textId="62042817" w:rsidR="00A05B08" w:rsidRPr="0041052D" w:rsidRDefault="00A05B08">
    <w:pPr>
      <w:pStyle w:val="stBilgi"/>
      <w:rPr>
        <w:rFonts w:ascii="Times New Roman" w:hAnsi="Times New Roman" w:cs="Times New Roman"/>
        <w:b/>
        <w:color w:val="1F3864" w:themeColor="accent5" w:themeShade="80"/>
        <w:sz w:val="24"/>
        <w:szCs w:val="24"/>
      </w:rPr>
    </w:pPr>
    <w:r w:rsidRPr="0041052D">
      <w:rPr>
        <w:rFonts w:ascii="Times New Roman" w:hAnsi="Times New Roman" w:cs="Times New Roman"/>
        <w:b/>
        <w:color w:val="1F3864" w:themeColor="accent5" w:themeShade="80"/>
        <w:sz w:val="24"/>
        <w:szCs w:val="24"/>
      </w:rPr>
      <w:t xml:space="preserve">HEDEF PORTFÖY </w:t>
    </w:r>
    <w:r w:rsidR="00036EBA">
      <w:rPr>
        <w:rFonts w:ascii="Times New Roman" w:hAnsi="Times New Roman" w:cs="Times New Roman"/>
        <w:b/>
        <w:color w:val="1F3864" w:themeColor="accent5" w:themeShade="80"/>
        <w:sz w:val="24"/>
        <w:szCs w:val="24"/>
      </w:rPr>
      <w:t>ARTI</w:t>
    </w:r>
    <w:r w:rsidR="00BA2F1E">
      <w:rPr>
        <w:rFonts w:ascii="Times New Roman" w:hAnsi="Times New Roman" w:cs="Times New Roman"/>
        <w:b/>
        <w:color w:val="1F3864" w:themeColor="accent5" w:themeShade="80"/>
        <w:sz w:val="24"/>
        <w:szCs w:val="24"/>
      </w:rPr>
      <w:t xml:space="preserve"> </w:t>
    </w:r>
    <w:r w:rsidRPr="0041052D">
      <w:rPr>
        <w:rFonts w:ascii="Times New Roman" w:hAnsi="Times New Roman" w:cs="Times New Roman"/>
        <w:b/>
        <w:color w:val="1F3864" w:themeColor="accent5" w:themeShade="80"/>
        <w:sz w:val="24"/>
        <w:szCs w:val="24"/>
      </w:rPr>
      <w:t>SERBEST</w:t>
    </w:r>
    <w:r w:rsidR="00516D29">
      <w:rPr>
        <w:rFonts w:ascii="Times New Roman" w:hAnsi="Times New Roman" w:cs="Times New Roman"/>
        <w:b/>
        <w:color w:val="1F3864" w:themeColor="accent5" w:themeShade="80"/>
        <w:sz w:val="24"/>
        <w:szCs w:val="24"/>
      </w:rPr>
      <w:t xml:space="preserve"> (TL)</w:t>
    </w:r>
    <w:r w:rsidRPr="0041052D">
      <w:rPr>
        <w:rFonts w:ascii="Times New Roman" w:hAnsi="Times New Roman" w:cs="Times New Roman"/>
        <w:b/>
        <w:color w:val="1F3864" w:themeColor="accent5" w:themeShade="80"/>
        <w:sz w:val="24"/>
        <w:szCs w:val="24"/>
      </w:rPr>
      <w:t xml:space="preserve"> FON</w:t>
    </w:r>
    <w:r w:rsidR="009C7259">
      <w:rPr>
        <w:rFonts w:ascii="Times New Roman" w:hAnsi="Times New Roman" w:cs="Times New Roman"/>
        <w:b/>
        <w:color w:val="1F3864" w:themeColor="accent5" w:themeShade="80"/>
        <w:sz w:val="24"/>
        <w:szCs w:val="24"/>
      </w:rPr>
      <w:t xml:space="preserve"> PERFORMANS SUNUM</w:t>
    </w:r>
    <w:r w:rsidR="001B1348" w:rsidRPr="0041052D">
      <w:rPr>
        <w:rFonts w:ascii="Times New Roman" w:hAnsi="Times New Roman" w:cs="Times New Roman"/>
        <w:b/>
        <w:color w:val="1F3864" w:themeColor="accent5" w:themeShade="80"/>
        <w:sz w:val="24"/>
        <w:szCs w:val="24"/>
      </w:rPr>
      <w:t xml:space="preserve"> RAPORU</w:t>
    </w:r>
  </w:p>
  <w:p w14:paraId="5726AB97" w14:textId="77777777" w:rsidR="00A05B08" w:rsidRDefault="008A60CB">
    <w:pPr>
      <w:pStyle w:val="stBilgi"/>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90232"/>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000978"/>
    <w:multiLevelType w:val="hybridMultilevel"/>
    <w:tmpl w:val="DF288936"/>
    <w:lvl w:ilvl="0" w:tplc="746AAB9C">
      <w:start w:val="1"/>
      <w:numFmt w:val="decimal"/>
      <w:lvlText w:val="%1)"/>
      <w:lvlJc w:val="left"/>
      <w:pPr>
        <w:ind w:left="220" w:hanging="329"/>
      </w:pPr>
      <w:rPr>
        <w:rFonts w:ascii="Times New Roman" w:eastAsia="Times New Roman" w:hAnsi="Times New Roman" w:cs="Times New Roman" w:hint="default"/>
        <w:b/>
        <w:bCs/>
        <w:spacing w:val="-4"/>
        <w:w w:val="99"/>
        <w:sz w:val="24"/>
        <w:szCs w:val="24"/>
        <w:lang w:val="tr-TR" w:eastAsia="en-US" w:bidi="ar-SA"/>
      </w:rPr>
    </w:lvl>
    <w:lvl w:ilvl="1" w:tplc="2C40F9C4">
      <w:numFmt w:val="bullet"/>
      <w:lvlText w:val="•"/>
      <w:lvlJc w:val="left"/>
      <w:pPr>
        <w:ind w:left="1214" w:hanging="329"/>
      </w:pPr>
      <w:rPr>
        <w:rFonts w:hint="default"/>
        <w:lang w:val="tr-TR" w:eastAsia="en-US" w:bidi="ar-SA"/>
      </w:rPr>
    </w:lvl>
    <w:lvl w:ilvl="2" w:tplc="819258C8">
      <w:numFmt w:val="bullet"/>
      <w:lvlText w:val="•"/>
      <w:lvlJc w:val="left"/>
      <w:pPr>
        <w:ind w:left="2209" w:hanging="329"/>
      </w:pPr>
      <w:rPr>
        <w:rFonts w:hint="default"/>
        <w:lang w:val="tr-TR" w:eastAsia="en-US" w:bidi="ar-SA"/>
      </w:rPr>
    </w:lvl>
    <w:lvl w:ilvl="3" w:tplc="647C683A">
      <w:numFmt w:val="bullet"/>
      <w:lvlText w:val="•"/>
      <w:lvlJc w:val="left"/>
      <w:pPr>
        <w:ind w:left="3203" w:hanging="329"/>
      </w:pPr>
      <w:rPr>
        <w:rFonts w:hint="default"/>
        <w:lang w:val="tr-TR" w:eastAsia="en-US" w:bidi="ar-SA"/>
      </w:rPr>
    </w:lvl>
    <w:lvl w:ilvl="4" w:tplc="D5E68424">
      <w:numFmt w:val="bullet"/>
      <w:lvlText w:val="•"/>
      <w:lvlJc w:val="left"/>
      <w:pPr>
        <w:ind w:left="4198" w:hanging="329"/>
      </w:pPr>
      <w:rPr>
        <w:rFonts w:hint="default"/>
        <w:lang w:val="tr-TR" w:eastAsia="en-US" w:bidi="ar-SA"/>
      </w:rPr>
    </w:lvl>
    <w:lvl w:ilvl="5" w:tplc="BC2460B4">
      <w:numFmt w:val="bullet"/>
      <w:lvlText w:val="•"/>
      <w:lvlJc w:val="left"/>
      <w:pPr>
        <w:ind w:left="5193" w:hanging="329"/>
      </w:pPr>
      <w:rPr>
        <w:rFonts w:hint="default"/>
        <w:lang w:val="tr-TR" w:eastAsia="en-US" w:bidi="ar-SA"/>
      </w:rPr>
    </w:lvl>
    <w:lvl w:ilvl="6" w:tplc="4B06AB2C">
      <w:numFmt w:val="bullet"/>
      <w:lvlText w:val="•"/>
      <w:lvlJc w:val="left"/>
      <w:pPr>
        <w:ind w:left="6187" w:hanging="329"/>
      </w:pPr>
      <w:rPr>
        <w:rFonts w:hint="default"/>
        <w:lang w:val="tr-TR" w:eastAsia="en-US" w:bidi="ar-SA"/>
      </w:rPr>
    </w:lvl>
    <w:lvl w:ilvl="7" w:tplc="5EBA5A9C">
      <w:numFmt w:val="bullet"/>
      <w:lvlText w:val="•"/>
      <w:lvlJc w:val="left"/>
      <w:pPr>
        <w:ind w:left="7182" w:hanging="329"/>
      </w:pPr>
      <w:rPr>
        <w:rFonts w:hint="default"/>
        <w:lang w:val="tr-TR" w:eastAsia="en-US" w:bidi="ar-SA"/>
      </w:rPr>
    </w:lvl>
    <w:lvl w:ilvl="8" w:tplc="9C502586">
      <w:numFmt w:val="bullet"/>
      <w:lvlText w:val="•"/>
      <w:lvlJc w:val="left"/>
      <w:pPr>
        <w:ind w:left="8177" w:hanging="329"/>
      </w:pPr>
      <w:rPr>
        <w:rFonts w:hint="default"/>
        <w:lang w:val="tr-TR" w:eastAsia="en-US" w:bidi="ar-SA"/>
      </w:rPr>
    </w:lvl>
  </w:abstractNum>
  <w:abstractNum w:abstractNumId="2" w15:restartNumberingAfterBreak="0">
    <w:nsid w:val="284E7D39"/>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0B84948"/>
    <w:multiLevelType w:val="hybridMultilevel"/>
    <w:tmpl w:val="0D7CC3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97574CA"/>
    <w:multiLevelType w:val="hybridMultilevel"/>
    <w:tmpl w:val="DDC0A4CE"/>
    <w:lvl w:ilvl="0" w:tplc="E9340EE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EC115B"/>
    <w:multiLevelType w:val="hybridMultilevel"/>
    <w:tmpl w:val="FDE4AFE2"/>
    <w:lvl w:ilvl="0" w:tplc="274031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5EE28F4"/>
    <w:multiLevelType w:val="hybridMultilevel"/>
    <w:tmpl w:val="78DC04CA"/>
    <w:lvl w:ilvl="0" w:tplc="1CE60560">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E463E02"/>
    <w:multiLevelType w:val="hybridMultilevel"/>
    <w:tmpl w:val="285CAA12"/>
    <w:lvl w:ilvl="0" w:tplc="E9FAD53C">
      <w:start w:val="1"/>
      <w:numFmt w:val="lowerLetter"/>
      <w:lvlText w:val="%1-"/>
      <w:lvlJc w:val="left"/>
      <w:pPr>
        <w:ind w:left="928" w:hanging="260"/>
      </w:pPr>
      <w:rPr>
        <w:rFonts w:ascii="Times New Roman" w:eastAsia="Times New Roman" w:hAnsi="Times New Roman" w:cs="Times New Roman" w:hint="default"/>
        <w:b/>
        <w:bCs/>
        <w:spacing w:val="-1"/>
        <w:w w:val="100"/>
        <w:sz w:val="24"/>
        <w:szCs w:val="24"/>
        <w:lang w:val="tr-TR" w:eastAsia="en-US" w:bidi="ar-SA"/>
      </w:rPr>
    </w:lvl>
    <w:lvl w:ilvl="1" w:tplc="E2C05F54">
      <w:numFmt w:val="bullet"/>
      <w:lvlText w:val="•"/>
      <w:lvlJc w:val="left"/>
      <w:pPr>
        <w:ind w:left="1844" w:hanging="260"/>
      </w:pPr>
      <w:rPr>
        <w:rFonts w:hint="default"/>
        <w:lang w:val="tr-TR" w:eastAsia="en-US" w:bidi="ar-SA"/>
      </w:rPr>
    </w:lvl>
    <w:lvl w:ilvl="2" w:tplc="95EE5B60">
      <w:numFmt w:val="bullet"/>
      <w:lvlText w:val="•"/>
      <w:lvlJc w:val="left"/>
      <w:pPr>
        <w:ind w:left="2769" w:hanging="260"/>
      </w:pPr>
      <w:rPr>
        <w:rFonts w:hint="default"/>
        <w:lang w:val="tr-TR" w:eastAsia="en-US" w:bidi="ar-SA"/>
      </w:rPr>
    </w:lvl>
    <w:lvl w:ilvl="3" w:tplc="D8A82F90">
      <w:numFmt w:val="bullet"/>
      <w:lvlText w:val="•"/>
      <w:lvlJc w:val="left"/>
      <w:pPr>
        <w:ind w:left="3693" w:hanging="260"/>
      </w:pPr>
      <w:rPr>
        <w:rFonts w:hint="default"/>
        <w:lang w:val="tr-TR" w:eastAsia="en-US" w:bidi="ar-SA"/>
      </w:rPr>
    </w:lvl>
    <w:lvl w:ilvl="4" w:tplc="19C4E794">
      <w:numFmt w:val="bullet"/>
      <w:lvlText w:val="•"/>
      <w:lvlJc w:val="left"/>
      <w:pPr>
        <w:ind w:left="4618" w:hanging="260"/>
      </w:pPr>
      <w:rPr>
        <w:rFonts w:hint="default"/>
        <w:lang w:val="tr-TR" w:eastAsia="en-US" w:bidi="ar-SA"/>
      </w:rPr>
    </w:lvl>
    <w:lvl w:ilvl="5" w:tplc="BBD8E7AE">
      <w:numFmt w:val="bullet"/>
      <w:lvlText w:val="•"/>
      <w:lvlJc w:val="left"/>
      <w:pPr>
        <w:ind w:left="5543" w:hanging="260"/>
      </w:pPr>
      <w:rPr>
        <w:rFonts w:hint="default"/>
        <w:lang w:val="tr-TR" w:eastAsia="en-US" w:bidi="ar-SA"/>
      </w:rPr>
    </w:lvl>
    <w:lvl w:ilvl="6" w:tplc="B6E88D12">
      <w:numFmt w:val="bullet"/>
      <w:lvlText w:val="•"/>
      <w:lvlJc w:val="left"/>
      <w:pPr>
        <w:ind w:left="6467" w:hanging="260"/>
      </w:pPr>
      <w:rPr>
        <w:rFonts w:hint="default"/>
        <w:lang w:val="tr-TR" w:eastAsia="en-US" w:bidi="ar-SA"/>
      </w:rPr>
    </w:lvl>
    <w:lvl w:ilvl="7" w:tplc="519AE29A">
      <w:numFmt w:val="bullet"/>
      <w:lvlText w:val="•"/>
      <w:lvlJc w:val="left"/>
      <w:pPr>
        <w:ind w:left="7392" w:hanging="260"/>
      </w:pPr>
      <w:rPr>
        <w:rFonts w:hint="default"/>
        <w:lang w:val="tr-TR" w:eastAsia="en-US" w:bidi="ar-SA"/>
      </w:rPr>
    </w:lvl>
    <w:lvl w:ilvl="8" w:tplc="F3B61FD2">
      <w:numFmt w:val="bullet"/>
      <w:lvlText w:val="•"/>
      <w:lvlJc w:val="left"/>
      <w:pPr>
        <w:ind w:left="8317" w:hanging="260"/>
      </w:pPr>
      <w:rPr>
        <w:rFonts w:hint="default"/>
        <w:lang w:val="tr-TR" w:eastAsia="en-US" w:bidi="ar-SA"/>
      </w:rPr>
    </w:lvl>
  </w:abstractNum>
  <w:num w:numId="1" w16cid:durableId="721951629">
    <w:abstractNumId w:val="2"/>
  </w:num>
  <w:num w:numId="2" w16cid:durableId="1644969645">
    <w:abstractNumId w:val="0"/>
  </w:num>
  <w:num w:numId="3" w16cid:durableId="1727600773">
    <w:abstractNumId w:val="6"/>
  </w:num>
  <w:num w:numId="4" w16cid:durableId="952052495">
    <w:abstractNumId w:val="5"/>
  </w:num>
  <w:num w:numId="5" w16cid:durableId="4313641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0728839">
    <w:abstractNumId w:val="7"/>
  </w:num>
  <w:num w:numId="7" w16cid:durableId="1263876765">
    <w:abstractNumId w:val="1"/>
  </w:num>
  <w:num w:numId="8" w16cid:durableId="729108704">
    <w:abstractNumId w:val="3"/>
  </w:num>
  <w:num w:numId="9" w16cid:durableId="18099327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7D6"/>
    <w:rsid w:val="00016B29"/>
    <w:rsid w:val="00030329"/>
    <w:rsid w:val="00032E31"/>
    <w:rsid w:val="000333B4"/>
    <w:rsid w:val="00036EBA"/>
    <w:rsid w:val="00044114"/>
    <w:rsid w:val="000669A7"/>
    <w:rsid w:val="00081250"/>
    <w:rsid w:val="000A1D61"/>
    <w:rsid w:val="000B2046"/>
    <w:rsid w:val="000E1417"/>
    <w:rsid w:val="000F1494"/>
    <w:rsid w:val="000F7A0F"/>
    <w:rsid w:val="000F7B1B"/>
    <w:rsid w:val="00103F61"/>
    <w:rsid w:val="00106889"/>
    <w:rsid w:val="00137894"/>
    <w:rsid w:val="00154745"/>
    <w:rsid w:val="001B1348"/>
    <w:rsid w:val="001B1C6E"/>
    <w:rsid w:val="001C4968"/>
    <w:rsid w:val="001D1C71"/>
    <w:rsid w:val="001E0E01"/>
    <w:rsid w:val="001F34AC"/>
    <w:rsid w:val="00223B91"/>
    <w:rsid w:val="0023421B"/>
    <w:rsid w:val="00236423"/>
    <w:rsid w:val="00237C1F"/>
    <w:rsid w:val="00242370"/>
    <w:rsid w:val="0025650E"/>
    <w:rsid w:val="00275FAF"/>
    <w:rsid w:val="00294CF5"/>
    <w:rsid w:val="00295675"/>
    <w:rsid w:val="002B133F"/>
    <w:rsid w:val="002B59FC"/>
    <w:rsid w:val="002D47A7"/>
    <w:rsid w:val="002E0202"/>
    <w:rsid w:val="002E2517"/>
    <w:rsid w:val="002E685D"/>
    <w:rsid w:val="002F33C2"/>
    <w:rsid w:val="00327958"/>
    <w:rsid w:val="00345E9E"/>
    <w:rsid w:val="00351EF4"/>
    <w:rsid w:val="00353A6C"/>
    <w:rsid w:val="00373F9B"/>
    <w:rsid w:val="00392B73"/>
    <w:rsid w:val="00395760"/>
    <w:rsid w:val="003B245E"/>
    <w:rsid w:val="003C1B72"/>
    <w:rsid w:val="003D35A3"/>
    <w:rsid w:val="003D4A1E"/>
    <w:rsid w:val="003D66F7"/>
    <w:rsid w:val="003E45EC"/>
    <w:rsid w:val="0041052D"/>
    <w:rsid w:val="00416252"/>
    <w:rsid w:val="00495B04"/>
    <w:rsid w:val="004A5550"/>
    <w:rsid w:val="004C5257"/>
    <w:rsid w:val="004E72E0"/>
    <w:rsid w:val="00501A4F"/>
    <w:rsid w:val="00516D29"/>
    <w:rsid w:val="005247F8"/>
    <w:rsid w:val="00596C79"/>
    <w:rsid w:val="005A19EC"/>
    <w:rsid w:val="005B1694"/>
    <w:rsid w:val="005B4267"/>
    <w:rsid w:val="005C70A1"/>
    <w:rsid w:val="005D0231"/>
    <w:rsid w:val="005D3818"/>
    <w:rsid w:val="005F5413"/>
    <w:rsid w:val="006053F2"/>
    <w:rsid w:val="0062182C"/>
    <w:rsid w:val="00621CF3"/>
    <w:rsid w:val="00623AF0"/>
    <w:rsid w:val="006554C1"/>
    <w:rsid w:val="006858ED"/>
    <w:rsid w:val="0068663D"/>
    <w:rsid w:val="006A0773"/>
    <w:rsid w:val="006B1228"/>
    <w:rsid w:val="006C07D6"/>
    <w:rsid w:val="006C1441"/>
    <w:rsid w:val="006C3B9B"/>
    <w:rsid w:val="006D1809"/>
    <w:rsid w:val="006E7251"/>
    <w:rsid w:val="006F1320"/>
    <w:rsid w:val="00711D47"/>
    <w:rsid w:val="0072414C"/>
    <w:rsid w:val="0073187F"/>
    <w:rsid w:val="00732B90"/>
    <w:rsid w:val="00733DF3"/>
    <w:rsid w:val="007403AA"/>
    <w:rsid w:val="007653BB"/>
    <w:rsid w:val="007657A0"/>
    <w:rsid w:val="00767030"/>
    <w:rsid w:val="007A0262"/>
    <w:rsid w:val="007B4462"/>
    <w:rsid w:val="007B4E2D"/>
    <w:rsid w:val="007C73DD"/>
    <w:rsid w:val="007D2136"/>
    <w:rsid w:val="007D75CD"/>
    <w:rsid w:val="00817594"/>
    <w:rsid w:val="008260F4"/>
    <w:rsid w:val="0083581D"/>
    <w:rsid w:val="00850B5E"/>
    <w:rsid w:val="00863BF1"/>
    <w:rsid w:val="0089387A"/>
    <w:rsid w:val="00897BBB"/>
    <w:rsid w:val="008A2B04"/>
    <w:rsid w:val="008A4183"/>
    <w:rsid w:val="008A4474"/>
    <w:rsid w:val="008A60CB"/>
    <w:rsid w:val="008C136E"/>
    <w:rsid w:val="00901163"/>
    <w:rsid w:val="00942BAD"/>
    <w:rsid w:val="00967902"/>
    <w:rsid w:val="00973E09"/>
    <w:rsid w:val="00976460"/>
    <w:rsid w:val="0098463F"/>
    <w:rsid w:val="009A6126"/>
    <w:rsid w:val="009C7259"/>
    <w:rsid w:val="00A05B08"/>
    <w:rsid w:val="00A17399"/>
    <w:rsid w:val="00A23DDD"/>
    <w:rsid w:val="00A263C6"/>
    <w:rsid w:val="00A2654E"/>
    <w:rsid w:val="00A50942"/>
    <w:rsid w:val="00A6163A"/>
    <w:rsid w:val="00A667D5"/>
    <w:rsid w:val="00A67A8A"/>
    <w:rsid w:val="00A70FB1"/>
    <w:rsid w:val="00A779B1"/>
    <w:rsid w:val="00AA17B4"/>
    <w:rsid w:val="00AD4058"/>
    <w:rsid w:val="00AD7652"/>
    <w:rsid w:val="00AE769D"/>
    <w:rsid w:val="00AF3A9D"/>
    <w:rsid w:val="00B0426D"/>
    <w:rsid w:val="00B136EF"/>
    <w:rsid w:val="00B212E2"/>
    <w:rsid w:val="00B31E30"/>
    <w:rsid w:val="00B975CA"/>
    <w:rsid w:val="00BA118B"/>
    <w:rsid w:val="00BA2C65"/>
    <w:rsid w:val="00BA2F1E"/>
    <w:rsid w:val="00BB1139"/>
    <w:rsid w:val="00BC0AF1"/>
    <w:rsid w:val="00BC4211"/>
    <w:rsid w:val="00BE37F7"/>
    <w:rsid w:val="00BF2B84"/>
    <w:rsid w:val="00BF54DE"/>
    <w:rsid w:val="00C158F7"/>
    <w:rsid w:val="00C16969"/>
    <w:rsid w:val="00C304C7"/>
    <w:rsid w:val="00C4082C"/>
    <w:rsid w:val="00C71DB7"/>
    <w:rsid w:val="00CC0D71"/>
    <w:rsid w:val="00CC7520"/>
    <w:rsid w:val="00CD4C99"/>
    <w:rsid w:val="00CD7184"/>
    <w:rsid w:val="00CE6762"/>
    <w:rsid w:val="00CF029B"/>
    <w:rsid w:val="00D06446"/>
    <w:rsid w:val="00D2502B"/>
    <w:rsid w:val="00D302F4"/>
    <w:rsid w:val="00D31BF6"/>
    <w:rsid w:val="00D34E03"/>
    <w:rsid w:val="00D36275"/>
    <w:rsid w:val="00D42D4B"/>
    <w:rsid w:val="00D52CC0"/>
    <w:rsid w:val="00D7161B"/>
    <w:rsid w:val="00D81B9A"/>
    <w:rsid w:val="00E12E3B"/>
    <w:rsid w:val="00E21575"/>
    <w:rsid w:val="00E27CCD"/>
    <w:rsid w:val="00E50129"/>
    <w:rsid w:val="00E6713D"/>
    <w:rsid w:val="00E75A59"/>
    <w:rsid w:val="00E815C1"/>
    <w:rsid w:val="00EA6C4D"/>
    <w:rsid w:val="00EB4E0D"/>
    <w:rsid w:val="00EC15BE"/>
    <w:rsid w:val="00ED76F3"/>
    <w:rsid w:val="00EE1326"/>
    <w:rsid w:val="00EE1C8B"/>
    <w:rsid w:val="00EF2040"/>
    <w:rsid w:val="00EF700D"/>
    <w:rsid w:val="00F2098B"/>
    <w:rsid w:val="00F42315"/>
    <w:rsid w:val="00F52BF1"/>
    <w:rsid w:val="00F5703C"/>
    <w:rsid w:val="00F70D62"/>
    <w:rsid w:val="00F76DF3"/>
    <w:rsid w:val="00F94051"/>
    <w:rsid w:val="00FB3A8D"/>
    <w:rsid w:val="00FC543F"/>
    <w:rsid w:val="00FD0849"/>
    <w:rsid w:val="00FE0F8F"/>
    <w:rsid w:val="00FF12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1579E"/>
  <w15:docId w15:val="{3F90327F-26FE-432C-AD8C-D4CE8060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21CF3"/>
    <w:pPr>
      <w:spacing w:after="200" w:line="276" w:lineRule="auto"/>
      <w:ind w:left="720"/>
      <w:contextualSpacing/>
    </w:pPr>
    <w:rPr>
      <w:rFonts w:eastAsiaTheme="minorEastAsia"/>
      <w:lang w:eastAsia="tr-TR"/>
    </w:rPr>
  </w:style>
  <w:style w:type="table" w:styleId="TabloKlavuzu">
    <w:name w:val="Table Grid"/>
    <w:basedOn w:val="NormalTablo"/>
    <w:uiPriority w:val="39"/>
    <w:rsid w:val="00A05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05B0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5B08"/>
  </w:style>
  <w:style w:type="paragraph" w:styleId="AltBilgi">
    <w:name w:val="footer"/>
    <w:basedOn w:val="Normal"/>
    <w:link w:val="AltBilgiChar"/>
    <w:uiPriority w:val="99"/>
    <w:unhideWhenUsed/>
    <w:rsid w:val="00A05B0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5B08"/>
  </w:style>
  <w:style w:type="paragraph" w:styleId="BalonMetni">
    <w:name w:val="Balloon Text"/>
    <w:basedOn w:val="Normal"/>
    <w:link w:val="BalonMetniChar"/>
    <w:uiPriority w:val="99"/>
    <w:semiHidden/>
    <w:unhideWhenUsed/>
    <w:rsid w:val="001C496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C4968"/>
    <w:rPr>
      <w:rFonts w:ascii="Segoe UI" w:hAnsi="Segoe UI" w:cs="Segoe UI"/>
      <w:sz w:val="18"/>
      <w:szCs w:val="18"/>
    </w:rPr>
  </w:style>
  <w:style w:type="paragraph" w:styleId="GvdeMetni">
    <w:name w:val="Body Text"/>
    <w:basedOn w:val="Normal"/>
    <w:link w:val="GvdeMetniChar"/>
    <w:uiPriority w:val="1"/>
    <w:qFormat/>
    <w:rsid w:val="00CD718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CD7184"/>
    <w:rPr>
      <w:rFonts w:ascii="Times New Roman" w:eastAsia="Times New Roman" w:hAnsi="Times New Roman" w:cs="Times New Roman"/>
      <w:sz w:val="24"/>
      <w:szCs w:val="24"/>
    </w:rPr>
  </w:style>
  <w:style w:type="character" w:styleId="AklamaBavurusu">
    <w:name w:val="annotation reference"/>
    <w:basedOn w:val="VarsaylanParagrafYazTipi"/>
    <w:uiPriority w:val="99"/>
    <w:semiHidden/>
    <w:unhideWhenUsed/>
    <w:rsid w:val="007657A0"/>
    <w:rPr>
      <w:sz w:val="16"/>
      <w:szCs w:val="16"/>
    </w:rPr>
  </w:style>
  <w:style w:type="paragraph" w:styleId="AklamaMetni">
    <w:name w:val="annotation text"/>
    <w:basedOn w:val="Normal"/>
    <w:link w:val="AklamaMetniChar"/>
    <w:uiPriority w:val="99"/>
    <w:semiHidden/>
    <w:unhideWhenUsed/>
    <w:rsid w:val="007657A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657A0"/>
    <w:rPr>
      <w:sz w:val="20"/>
      <w:szCs w:val="20"/>
    </w:rPr>
  </w:style>
  <w:style w:type="paragraph" w:styleId="AklamaKonusu">
    <w:name w:val="annotation subject"/>
    <w:basedOn w:val="AklamaMetni"/>
    <w:next w:val="AklamaMetni"/>
    <w:link w:val="AklamaKonusuChar"/>
    <w:uiPriority w:val="99"/>
    <w:semiHidden/>
    <w:unhideWhenUsed/>
    <w:rsid w:val="007657A0"/>
    <w:rPr>
      <w:b/>
      <w:bCs/>
    </w:rPr>
  </w:style>
  <w:style w:type="character" w:customStyle="1" w:styleId="AklamaKonusuChar">
    <w:name w:val="Açıklama Konusu Char"/>
    <w:basedOn w:val="AklamaMetniChar"/>
    <w:link w:val="AklamaKonusu"/>
    <w:uiPriority w:val="99"/>
    <w:semiHidden/>
    <w:rsid w:val="007657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826873">
      <w:bodyDiv w:val="1"/>
      <w:marLeft w:val="0"/>
      <w:marRight w:val="0"/>
      <w:marTop w:val="0"/>
      <w:marBottom w:val="0"/>
      <w:divBdr>
        <w:top w:val="none" w:sz="0" w:space="0" w:color="auto"/>
        <w:left w:val="none" w:sz="0" w:space="0" w:color="auto"/>
        <w:bottom w:val="none" w:sz="0" w:space="0" w:color="auto"/>
        <w:right w:val="none" w:sz="0" w:space="0" w:color="auto"/>
      </w:divBdr>
    </w:div>
    <w:div w:id="249630204">
      <w:bodyDiv w:val="1"/>
      <w:marLeft w:val="0"/>
      <w:marRight w:val="0"/>
      <w:marTop w:val="0"/>
      <w:marBottom w:val="0"/>
      <w:divBdr>
        <w:top w:val="none" w:sz="0" w:space="0" w:color="auto"/>
        <w:left w:val="none" w:sz="0" w:space="0" w:color="auto"/>
        <w:bottom w:val="none" w:sz="0" w:space="0" w:color="auto"/>
        <w:right w:val="none" w:sz="0" w:space="0" w:color="auto"/>
      </w:divBdr>
    </w:div>
    <w:div w:id="349918962">
      <w:bodyDiv w:val="1"/>
      <w:marLeft w:val="0"/>
      <w:marRight w:val="0"/>
      <w:marTop w:val="0"/>
      <w:marBottom w:val="0"/>
      <w:divBdr>
        <w:top w:val="none" w:sz="0" w:space="0" w:color="auto"/>
        <w:left w:val="none" w:sz="0" w:space="0" w:color="auto"/>
        <w:bottom w:val="none" w:sz="0" w:space="0" w:color="auto"/>
        <w:right w:val="none" w:sz="0" w:space="0" w:color="auto"/>
      </w:divBdr>
    </w:div>
    <w:div w:id="367800711">
      <w:bodyDiv w:val="1"/>
      <w:marLeft w:val="0"/>
      <w:marRight w:val="0"/>
      <w:marTop w:val="0"/>
      <w:marBottom w:val="0"/>
      <w:divBdr>
        <w:top w:val="none" w:sz="0" w:space="0" w:color="auto"/>
        <w:left w:val="none" w:sz="0" w:space="0" w:color="auto"/>
        <w:bottom w:val="none" w:sz="0" w:space="0" w:color="auto"/>
        <w:right w:val="none" w:sz="0" w:space="0" w:color="auto"/>
      </w:divBdr>
    </w:div>
    <w:div w:id="428354591">
      <w:bodyDiv w:val="1"/>
      <w:marLeft w:val="0"/>
      <w:marRight w:val="0"/>
      <w:marTop w:val="0"/>
      <w:marBottom w:val="0"/>
      <w:divBdr>
        <w:top w:val="none" w:sz="0" w:space="0" w:color="auto"/>
        <w:left w:val="none" w:sz="0" w:space="0" w:color="auto"/>
        <w:bottom w:val="none" w:sz="0" w:space="0" w:color="auto"/>
        <w:right w:val="none" w:sz="0" w:space="0" w:color="auto"/>
      </w:divBdr>
    </w:div>
    <w:div w:id="445659482">
      <w:bodyDiv w:val="1"/>
      <w:marLeft w:val="0"/>
      <w:marRight w:val="0"/>
      <w:marTop w:val="0"/>
      <w:marBottom w:val="0"/>
      <w:divBdr>
        <w:top w:val="none" w:sz="0" w:space="0" w:color="auto"/>
        <w:left w:val="none" w:sz="0" w:space="0" w:color="auto"/>
        <w:bottom w:val="none" w:sz="0" w:space="0" w:color="auto"/>
        <w:right w:val="none" w:sz="0" w:space="0" w:color="auto"/>
      </w:divBdr>
    </w:div>
    <w:div w:id="478036836">
      <w:bodyDiv w:val="1"/>
      <w:marLeft w:val="0"/>
      <w:marRight w:val="0"/>
      <w:marTop w:val="0"/>
      <w:marBottom w:val="0"/>
      <w:divBdr>
        <w:top w:val="none" w:sz="0" w:space="0" w:color="auto"/>
        <w:left w:val="none" w:sz="0" w:space="0" w:color="auto"/>
        <w:bottom w:val="none" w:sz="0" w:space="0" w:color="auto"/>
        <w:right w:val="none" w:sz="0" w:space="0" w:color="auto"/>
      </w:divBdr>
    </w:div>
    <w:div w:id="511990056">
      <w:bodyDiv w:val="1"/>
      <w:marLeft w:val="0"/>
      <w:marRight w:val="0"/>
      <w:marTop w:val="0"/>
      <w:marBottom w:val="0"/>
      <w:divBdr>
        <w:top w:val="none" w:sz="0" w:space="0" w:color="auto"/>
        <w:left w:val="none" w:sz="0" w:space="0" w:color="auto"/>
        <w:bottom w:val="none" w:sz="0" w:space="0" w:color="auto"/>
        <w:right w:val="none" w:sz="0" w:space="0" w:color="auto"/>
      </w:divBdr>
    </w:div>
    <w:div w:id="537201582">
      <w:bodyDiv w:val="1"/>
      <w:marLeft w:val="0"/>
      <w:marRight w:val="0"/>
      <w:marTop w:val="0"/>
      <w:marBottom w:val="0"/>
      <w:divBdr>
        <w:top w:val="none" w:sz="0" w:space="0" w:color="auto"/>
        <w:left w:val="none" w:sz="0" w:space="0" w:color="auto"/>
        <w:bottom w:val="none" w:sz="0" w:space="0" w:color="auto"/>
        <w:right w:val="none" w:sz="0" w:space="0" w:color="auto"/>
      </w:divBdr>
    </w:div>
    <w:div w:id="595212736">
      <w:bodyDiv w:val="1"/>
      <w:marLeft w:val="0"/>
      <w:marRight w:val="0"/>
      <w:marTop w:val="0"/>
      <w:marBottom w:val="0"/>
      <w:divBdr>
        <w:top w:val="none" w:sz="0" w:space="0" w:color="auto"/>
        <w:left w:val="none" w:sz="0" w:space="0" w:color="auto"/>
        <w:bottom w:val="none" w:sz="0" w:space="0" w:color="auto"/>
        <w:right w:val="none" w:sz="0" w:space="0" w:color="auto"/>
      </w:divBdr>
    </w:div>
    <w:div w:id="605505867">
      <w:bodyDiv w:val="1"/>
      <w:marLeft w:val="0"/>
      <w:marRight w:val="0"/>
      <w:marTop w:val="0"/>
      <w:marBottom w:val="0"/>
      <w:divBdr>
        <w:top w:val="none" w:sz="0" w:space="0" w:color="auto"/>
        <w:left w:val="none" w:sz="0" w:space="0" w:color="auto"/>
        <w:bottom w:val="none" w:sz="0" w:space="0" w:color="auto"/>
        <w:right w:val="none" w:sz="0" w:space="0" w:color="auto"/>
      </w:divBdr>
    </w:div>
    <w:div w:id="613756724">
      <w:bodyDiv w:val="1"/>
      <w:marLeft w:val="0"/>
      <w:marRight w:val="0"/>
      <w:marTop w:val="0"/>
      <w:marBottom w:val="0"/>
      <w:divBdr>
        <w:top w:val="none" w:sz="0" w:space="0" w:color="auto"/>
        <w:left w:val="none" w:sz="0" w:space="0" w:color="auto"/>
        <w:bottom w:val="none" w:sz="0" w:space="0" w:color="auto"/>
        <w:right w:val="none" w:sz="0" w:space="0" w:color="auto"/>
      </w:divBdr>
    </w:div>
    <w:div w:id="651565552">
      <w:bodyDiv w:val="1"/>
      <w:marLeft w:val="0"/>
      <w:marRight w:val="0"/>
      <w:marTop w:val="0"/>
      <w:marBottom w:val="0"/>
      <w:divBdr>
        <w:top w:val="none" w:sz="0" w:space="0" w:color="auto"/>
        <w:left w:val="none" w:sz="0" w:space="0" w:color="auto"/>
        <w:bottom w:val="none" w:sz="0" w:space="0" w:color="auto"/>
        <w:right w:val="none" w:sz="0" w:space="0" w:color="auto"/>
      </w:divBdr>
    </w:div>
    <w:div w:id="688262373">
      <w:bodyDiv w:val="1"/>
      <w:marLeft w:val="0"/>
      <w:marRight w:val="0"/>
      <w:marTop w:val="0"/>
      <w:marBottom w:val="0"/>
      <w:divBdr>
        <w:top w:val="none" w:sz="0" w:space="0" w:color="auto"/>
        <w:left w:val="none" w:sz="0" w:space="0" w:color="auto"/>
        <w:bottom w:val="none" w:sz="0" w:space="0" w:color="auto"/>
        <w:right w:val="none" w:sz="0" w:space="0" w:color="auto"/>
      </w:divBdr>
    </w:div>
    <w:div w:id="792361457">
      <w:bodyDiv w:val="1"/>
      <w:marLeft w:val="0"/>
      <w:marRight w:val="0"/>
      <w:marTop w:val="0"/>
      <w:marBottom w:val="0"/>
      <w:divBdr>
        <w:top w:val="none" w:sz="0" w:space="0" w:color="auto"/>
        <w:left w:val="none" w:sz="0" w:space="0" w:color="auto"/>
        <w:bottom w:val="none" w:sz="0" w:space="0" w:color="auto"/>
        <w:right w:val="none" w:sz="0" w:space="0" w:color="auto"/>
      </w:divBdr>
    </w:div>
    <w:div w:id="818544862">
      <w:bodyDiv w:val="1"/>
      <w:marLeft w:val="0"/>
      <w:marRight w:val="0"/>
      <w:marTop w:val="0"/>
      <w:marBottom w:val="0"/>
      <w:divBdr>
        <w:top w:val="none" w:sz="0" w:space="0" w:color="auto"/>
        <w:left w:val="none" w:sz="0" w:space="0" w:color="auto"/>
        <w:bottom w:val="none" w:sz="0" w:space="0" w:color="auto"/>
        <w:right w:val="none" w:sz="0" w:space="0" w:color="auto"/>
      </w:divBdr>
    </w:div>
    <w:div w:id="894857762">
      <w:bodyDiv w:val="1"/>
      <w:marLeft w:val="0"/>
      <w:marRight w:val="0"/>
      <w:marTop w:val="0"/>
      <w:marBottom w:val="0"/>
      <w:divBdr>
        <w:top w:val="none" w:sz="0" w:space="0" w:color="auto"/>
        <w:left w:val="none" w:sz="0" w:space="0" w:color="auto"/>
        <w:bottom w:val="none" w:sz="0" w:space="0" w:color="auto"/>
        <w:right w:val="none" w:sz="0" w:space="0" w:color="auto"/>
      </w:divBdr>
    </w:div>
    <w:div w:id="898244435">
      <w:bodyDiv w:val="1"/>
      <w:marLeft w:val="0"/>
      <w:marRight w:val="0"/>
      <w:marTop w:val="0"/>
      <w:marBottom w:val="0"/>
      <w:divBdr>
        <w:top w:val="none" w:sz="0" w:space="0" w:color="auto"/>
        <w:left w:val="none" w:sz="0" w:space="0" w:color="auto"/>
        <w:bottom w:val="none" w:sz="0" w:space="0" w:color="auto"/>
        <w:right w:val="none" w:sz="0" w:space="0" w:color="auto"/>
      </w:divBdr>
    </w:div>
    <w:div w:id="937903644">
      <w:bodyDiv w:val="1"/>
      <w:marLeft w:val="0"/>
      <w:marRight w:val="0"/>
      <w:marTop w:val="0"/>
      <w:marBottom w:val="0"/>
      <w:divBdr>
        <w:top w:val="none" w:sz="0" w:space="0" w:color="auto"/>
        <w:left w:val="none" w:sz="0" w:space="0" w:color="auto"/>
        <w:bottom w:val="none" w:sz="0" w:space="0" w:color="auto"/>
        <w:right w:val="none" w:sz="0" w:space="0" w:color="auto"/>
      </w:divBdr>
    </w:div>
    <w:div w:id="967710755">
      <w:bodyDiv w:val="1"/>
      <w:marLeft w:val="0"/>
      <w:marRight w:val="0"/>
      <w:marTop w:val="0"/>
      <w:marBottom w:val="0"/>
      <w:divBdr>
        <w:top w:val="none" w:sz="0" w:space="0" w:color="auto"/>
        <w:left w:val="none" w:sz="0" w:space="0" w:color="auto"/>
        <w:bottom w:val="none" w:sz="0" w:space="0" w:color="auto"/>
        <w:right w:val="none" w:sz="0" w:space="0" w:color="auto"/>
      </w:divBdr>
    </w:div>
    <w:div w:id="1014262468">
      <w:bodyDiv w:val="1"/>
      <w:marLeft w:val="0"/>
      <w:marRight w:val="0"/>
      <w:marTop w:val="0"/>
      <w:marBottom w:val="0"/>
      <w:divBdr>
        <w:top w:val="none" w:sz="0" w:space="0" w:color="auto"/>
        <w:left w:val="none" w:sz="0" w:space="0" w:color="auto"/>
        <w:bottom w:val="none" w:sz="0" w:space="0" w:color="auto"/>
        <w:right w:val="none" w:sz="0" w:space="0" w:color="auto"/>
      </w:divBdr>
    </w:div>
    <w:div w:id="1240403084">
      <w:bodyDiv w:val="1"/>
      <w:marLeft w:val="0"/>
      <w:marRight w:val="0"/>
      <w:marTop w:val="0"/>
      <w:marBottom w:val="0"/>
      <w:divBdr>
        <w:top w:val="none" w:sz="0" w:space="0" w:color="auto"/>
        <w:left w:val="none" w:sz="0" w:space="0" w:color="auto"/>
        <w:bottom w:val="none" w:sz="0" w:space="0" w:color="auto"/>
        <w:right w:val="none" w:sz="0" w:space="0" w:color="auto"/>
      </w:divBdr>
    </w:div>
    <w:div w:id="1255481691">
      <w:bodyDiv w:val="1"/>
      <w:marLeft w:val="0"/>
      <w:marRight w:val="0"/>
      <w:marTop w:val="0"/>
      <w:marBottom w:val="0"/>
      <w:divBdr>
        <w:top w:val="none" w:sz="0" w:space="0" w:color="auto"/>
        <w:left w:val="none" w:sz="0" w:space="0" w:color="auto"/>
        <w:bottom w:val="none" w:sz="0" w:space="0" w:color="auto"/>
        <w:right w:val="none" w:sz="0" w:space="0" w:color="auto"/>
      </w:divBdr>
    </w:div>
    <w:div w:id="1374846865">
      <w:bodyDiv w:val="1"/>
      <w:marLeft w:val="0"/>
      <w:marRight w:val="0"/>
      <w:marTop w:val="0"/>
      <w:marBottom w:val="0"/>
      <w:divBdr>
        <w:top w:val="none" w:sz="0" w:space="0" w:color="auto"/>
        <w:left w:val="none" w:sz="0" w:space="0" w:color="auto"/>
        <w:bottom w:val="none" w:sz="0" w:space="0" w:color="auto"/>
        <w:right w:val="none" w:sz="0" w:space="0" w:color="auto"/>
      </w:divBdr>
    </w:div>
    <w:div w:id="1542785461">
      <w:bodyDiv w:val="1"/>
      <w:marLeft w:val="0"/>
      <w:marRight w:val="0"/>
      <w:marTop w:val="0"/>
      <w:marBottom w:val="0"/>
      <w:divBdr>
        <w:top w:val="none" w:sz="0" w:space="0" w:color="auto"/>
        <w:left w:val="none" w:sz="0" w:space="0" w:color="auto"/>
        <w:bottom w:val="none" w:sz="0" w:space="0" w:color="auto"/>
        <w:right w:val="none" w:sz="0" w:space="0" w:color="auto"/>
      </w:divBdr>
    </w:div>
    <w:div w:id="1583222455">
      <w:bodyDiv w:val="1"/>
      <w:marLeft w:val="0"/>
      <w:marRight w:val="0"/>
      <w:marTop w:val="0"/>
      <w:marBottom w:val="0"/>
      <w:divBdr>
        <w:top w:val="none" w:sz="0" w:space="0" w:color="auto"/>
        <w:left w:val="none" w:sz="0" w:space="0" w:color="auto"/>
        <w:bottom w:val="none" w:sz="0" w:space="0" w:color="auto"/>
        <w:right w:val="none" w:sz="0" w:space="0" w:color="auto"/>
      </w:divBdr>
    </w:div>
    <w:div w:id="1671331528">
      <w:bodyDiv w:val="1"/>
      <w:marLeft w:val="0"/>
      <w:marRight w:val="0"/>
      <w:marTop w:val="0"/>
      <w:marBottom w:val="0"/>
      <w:divBdr>
        <w:top w:val="none" w:sz="0" w:space="0" w:color="auto"/>
        <w:left w:val="none" w:sz="0" w:space="0" w:color="auto"/>
        <w:bottom w:val="none" w:sz="0" w:space="0" w:color="auto"/>
        <w:right w:val="none" w:sz="0" w:space="0" w:color="auto"/>
      </w:divBdr>
    </w:div>
    <w:div w:id="1679578950">
      <w:bodyDiv w:val="1"/>
      <w:marLeft w:val="0"/>
      <w:marRight w:val="0"/>
      <w:marTop w:val="0"/>
      <w:marBottom w:val="0"/>
      <w:divBdr>
        <w:top w:val="none" w:sz="0" w:space="0" w:color="auto"/>
        <w:left w:val="none" w:sz="0" w:space="0" w:color="auto"/>
        <w:bottom w:val="none" w:sz="0" w:space="0" w:color="auto"/>
        <w:right w:val="none" w:sz="0" w:space="0" w:color="auto"/>
      </w:divBdr>
    </w:div>
    <w:div w:id="1760642497">
      <w:bodyDiv w:val="1"/>
      <w:marLeft w:val="0"/>
      <w:marRight w:val="0"/>
      <w:marTop w:val="0"/>
      <w:marBottom w:val="0"/>
      <w:divBdr>
        <w:top w:val="none" w:sz="0" w:space="0" w:color="auto"/>
        <w:left w:val="none" w:sz="0" w:space="0" w:color="auto"/>
        <w:bottom w:val="none" w:sz="0" w:space="0" w:color="auto"/>
        <w:right w:val="none" w:sz="0" w:space="0" w:color="auto"/>
      </w:divBdr>
    </w:div>
    <w:div w:id="1838182537">
      <w:bodyDiv w:val="1"/>
      <w:marLeft w:val="0"/>
      <w:marRight w:val="0"/>
      <w:marTop w:val="0"/>
      <w:marBottom w:val="0"/>
      <w:divBdr>
        <w:top w:val="none" w:sz="0" w:space="0" w:color="auto"/>
        <w:left w:val="none" w:sz="0" w:space="0" w:color="auto"/>
        <w:bottom w:val="none" w:sz="0" w:space="0" w:color="auto"/>
        <w:right w:val="none" w:sz="0" w:space="0" w:color="auto"/>
      </w:divBdr>
    </w:div>
    <w:div w:id="1978609804">
      <w:bodyDiv w:val="1"/>
      <w:marLeft w:val="0"/>
      <w:marRight w:val="0"/>
      <w:marTop w:val="0"/>
      <w:marBottom w:val="0"/>
      <w:divBdr>
        <w:top w:val="none" w:sz="0" w:space="0" w:color="auto"/>
        <w:left w:val="none" w:sz="0" w:space="0" w:color="auto"/>
        <w:bottom w:val="none" w:sz="0" w:space="0" w:color="auto"/>
        <w:right w:val="none" w:sz="0" w:space="0" w:color="auto"/>
      </w:divBdr>
    </w:div>
    <w:div w:id="2023896311">
      <w:bodyDiv w:val="1"/>
      <w:marLeft w:val="0"/>
      <w:marRight w:val="0"/>
      <w:marTop w:val="0"/>
      <w:marBottom w:val="0"/>
      <w:divBdr>
        <w:top w:val="none" w:sz="0" w:space="0" w:color="auto"/>
        <w:left w:val="none" w:sz="0" w:space="0" w:color="auto"/>
        <w:bottom w:val="none" w:sz="0" w:space="0" w:color="auto"/>
        <w:right w:val="none" w:sz="0" w:space="0" w:color="auto"/>
      </w:divBdr>
    </w:div>
    <w:div w:id="2038071029">
      <w:bodyDiv w:val="1"/>
      <w:marLeft w:val="0"/>
      <w:marRight w:val="0"/>
      <w:marTop w:val="0"/>
      <w:marBottom w:val="0"/>
      <w:divBdr>
        <w:top w:val="none" w:sz="0" w:space="0" w:color="auto"/>
        <w:left w:val="none" w:sz="0" w:space="0" w:color="auto"/>
        <w:bottom w:val="none" w:sz="0" w:space="0" w:color="auto"/>
        <w:right w:val="none" w:sz="0" w:space="0" w:color="auto"/>
      </w:divBdr>
    </w:div>
    <w:div w:id="208760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E1D7E7D4EEC9D146BE2CF640EE7999E0" ma:contentTypeVersion="14" ma:contentTypeDescription="Yeni belge oluşturun." ma:contentTypeScope="" ma:versionID="82d788e99001de783777243ec02bf1b3">
  <xsd:schema xmlns:xsd="http://www.w3.org/2001/XMLSchema" xmlns:xs="http://www.w3.org/2001/XMLSchema" xmlns:p="http://schemas.microsoft.com/office/2006/metadata/properties" xmlns:ns2="5e3af4a5-984b-4b1d-b5d7-bb26ce05161a" xmlns:ns3="f8fb3262-dbc2-441e-aab2-289cccc96247" targetNamespace="http://schemas.microsoft.com/office/2006/metadata/properties" ma:root="true" ma:fieldsID="690ee47edff6c1830a245d237d48cdc8" ns2:_="" ns3:_="">
    <xsd:import namespace="5e3af4a5-984b-4b1d-b5d7-bb26ce05161a"/>
    <xsd:import namespace="f8fb3262-dbc2-441e-aab2-289cccc962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af4a5-984b-4b1d-b5d7-bb26ce05161a"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TaxCatchAll" ma:index="15" nillable="true" ma:displayName="Tüm Sınıflandırmayı Yakala Sütunu" ma:hidden="true" ma:list="{7a0f98d2-e801-418d-9f43-34d8669166fc}" ma:internalName="TaxCatchAll" ma:showField="CatchAllData" ma:web="5e3af4a5-984b-4b1d-b5d7-bb26ce0516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fb3262-dbc2-441e-aab2-289cccc962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Resim Etiketleri" ma:readOnly="false" ma:fieldId="{5cf76f15-5ced-4ddc-b409-7134ff3c332f}" ma:taxonomyMulti="true" ma:sspId="d93cb389-d351-488c-8194-2c891070e8c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57E25F-73E7-4F3F-95AF-EBE8CB58BAB3}">
  <ds:schemaRefs>
    <ds:schemaRef ds:uri="http://schemas.microsoft.com/sharepoint/v3/contenttype/forms"/>
  </ds:schemaRefs>
</ds:datastoreItem>
</file>

<file path=customXml/itemProps2.xml><?xml version="1.0" encoding="utf-8"?>
<ds:datastoreItem xmlns:ds="http://schemas.openxmlformats.org/officeDocument/2006/customXml" ds:itemID="{A70CB4EB-CD91-4669-8B33-BA2480ADD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af4a5-984b-4b1d-b5d7-bb26ce05161a"/>
    <ds:schemaRef ds:uri="f8fb3262-dbc2-441e-aab2-289cccc96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2069</Words>
  <Characters>11799</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Süleyman ARPASLAN</dc:creator>
  <cp:lastModifiedBy>Aslı ASLAN</cp:lastModifiedBy>
  <cp:revision>15</cp:revision>
  <cp:lastPrinted>2018-01-05T06:32:00Z</cp:lastPrinted>
  <dcterms:created xsi:type="dcterms:W3CDTF">2024-01-26T06:36:00Z</dcterms:created>
  <dcterms:modified xsi:type="dcterms:W3CDTF">2024-07-04T08:33:00Z</dcterms:modified>
</cp:coreProperties>
</file>