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98656" w14:textId="77777777" w:rsidR="004A1C26" w:rsidRDefault="004A1C26" w:rsidP="004A1C26">
      <w:pPr>
        <w:pStyle w:val="Default"/>
        <w:jc w:val="center"/>
      </w:pPr>
    </w:p>
    <w:p w14:paraId="46C3720D" w14:textId="77777777" w:rsidR="004A1C26" w:rsidRDefault="004A1C26" w:rsidP="004A1C26">
      <w:pPr>
        <w:pStyle w:val="Default"/>
        <w:jc w:val="center"/>
      </w:pPr>
    </w:p>
    <w:p w14:paraId="1805F214" w14:textId="77777777" w:rsidR="004A1C26" w:rsidRDefault="004A1C26" w:rsidP="004A1C26">
      <w:pPr>
        <w:pStyle w:val="Default"/>
        <w:jc w:val="center"/>
      </w:pPr>
    </w:p>
    <w:p w14:paraId="3724B11F" w14:textId="77777777" w:rsidR="004A1C26" w:rsidRDefault="004A1C26" w:rsidP="004A1C26">
      <w:pPr>
        <w:pStyle w:val="Default"/>
        <w:jc w:val="center"/>
      </w:pPr>
    </w:p>
    <w:p w14:paraId="15ABD386" w14:textId="77777777" w:rsidR="004A1C26" w:rsidRDefault="004A1C26" w:rsidP="004A1C26">
      <w:pPr>
        <w:pStyle w:val="Default"/>
        <w:jc w:val="center"/>
      </w:pPr>
    </w:p>
    <w:p w14:paraId="7BDE6650" w14:textId="77777777" w:rsidR="004A1C26" w:rsidRDefault="004A1C26" w:rsidP="004A1C26">
      <w:pPr>
        <w:pStyle w:val="Default"/>
        <w:jc w:val="center"/>
      </w:pPr>
    </w:p>
    <w:p w14:paraId="1E07F277" w14:textId="77777777" w:rsidR="004A1C26" w:rsidRDefault="004A1C26" w:rsidP="004A1C26">
      <w:pPr>
        <w:pStyle w:val="Default"/>
        <w:jc w:val="center"/>
      </w:pPr>
    </w:p>
    <w:p w14:paraId="31ED8C2F" w14:textId="77777777" w:rsidR="004A1C26" w:rsidRDefault="004A1C26" w:rsidP="004A1C26">
      <w:pPr>
        <w:pStyle w:val="Default"/>
        <w:jc w:val="center"/>
      </w:pPr>
    </w:p>
    <w:p w14:paraId="0127AF76" w14:textId="77777777" w:rsidR="004A1C26" w:rsidRDefault="004A1C26" w:rsidP="004A1C26">
      <w:pPr>
        <w:pStyle w:val="Default"/>
        <w:jc w:val="center"/>
      </w:pPr>
    </w:p>
    <w:p w14:paraId="6A82E0CF" w14:textId="77777777" w:rsidR="004A1C26" w:rsidRDefault="004A1C26" w:rsidP="004A1C26">
      <w:pPr>
        <w:pStyle w:val="Default"/>
        <w:jc w:val="center"/>
      </w:pPr>
    </w:p>
    <w:p w14:paraId="39F76614" w14:textId="77777777" w:rsidR="004A1C26" w:rsidRDefault="004A1C26" w:rsidP="004A1C26">
      <w:pPr>
        <w:pStyle w:val="Default"/>
        <w:jc w:val="center"/>
      </w:pPr>
    </w:p>
    <w:p w14:paraId="6313DC63" w14:textId="77777777" w:rsidR="004A1C26" w:rsidRDefault="004A1C26" w:rsidP="004A1C26">
      <w:pPr>
        <w:pStyle w:val="Default"/>
        <w:jc w:val="center"/>
      </w:pPr>
    </w:p>
    <w:p w14:paraId="0BFABAFA" w14:textId="77777777" w:rsidR="004A1C26" w:rsidRDefault="004A1C26" w:rsidP="004A1C26">
      <w:pPr>
        <w:pStyle w:val="Default"/>
        <w:jc w:val="center"/>
      </w:pPr>
    </w:p>
    <w:p w14:paraId="2CE3C9B6" w14:textId="77777777" w:rsidR="004A1C26" w:rsidRDefault="004A1C26" w:rsidP="004A1C26">
      <w:pPr>
        <w:pStyle w:val="Default"/>
        <w:jc w:val="center"/>
      </w:pPr>
    </w:p>
    <w:p w14:paraId="39BE0A22" w14:textId="77777777" w:rsidR="004A1C26" w:rsidRDefault="004A1C26" w:rsidP="004A1C26">
      <w:pPr>
        <w:pStyle w:val="Default"/>
        <w:jc w:val="center"/>
      </w:pPr>
    </w:p>
    <w:p w14:paraId="4A978AF9" w14:textId="77777777" w:rsidR="004A1C26" w:rsidRDefault="004A1C26" w:rsidP="004A1C26">
      <w:pPr>
        <w:pStyle w:val="Default"/>
        <w:jc w:val="center"/>
      </w:pPr>
    </w:p>
    <w:p w14:paraId="32BB5D61" w14:textId="77777777" w:rsidR="004A1C26" w:rsidRDefault="004A1C26" w:rsidP="004A1C26">
      <w:pPr>
        <w:pStyle w:val="Default"/>
        <w:jc w:val="center"/>
      </w:pPr>
    </w:p>
    <w:p w14:paraId="58FA33CB" w14:textId="77777777" w:rsidR="004A1C26" w:rsidRDefault="004A1C26" w:rsidP="004A1C26">
      <w:pPr>
        <w:pStyle w:val="Default"/>
        <w:jc w:val="center"/>
      </w:pPr>
    </w:p>
    <w:p w14:paraId="11A1DF9F" w14:textId="77777777" w:rsidR="004A1C26" w:rsidRDefault="004A1C26" w:rsidP="004A1C26">
      <w:pPr>
        <w:pStyle w:val="Default"/>
        <w:jc w:val="center"/>
      </w:pPr>
    </w:p>
    <w:p w14:paraId="52FB4147" w14:textId="77777777" w:rsidR="004A1C26" w:rsidRDefault="004A1C26" w:rsidP="004A1C26">
      <w:pPr>
        <w:pStyle w:val="Default"/>
        <w:jc w:val="center"/>
      </w:pPr>
    </w:p>
    <w:p w14:paraId="0C04117F" w14:textId="77777777" w:rsidR="004A1C26" w:rsidRDefault="004A1C26" w:rsidP="004A1C26">
      <w:pPr>
        <w:pStyle w:val="Default"/>
        <w:jc w:val="center"/>
      </w:pPr>
    </w:p>
    <w:p w14:paraId="131FDA4E" w14:textId="77777777" w:rsidR="004A1C26" w:rsidRDefault="004A1C26" w:rsidP="004A1C26">
      <w:pPr>
        <w:pStyle w:val="Default"/>
        <w:jc w:val="center"/>
      </w:pPr>
    </w:p>
    <w:p w14:paraId="48069968" w14:textId="77777777" w:rsidR="004A1C26" w:rsidRDefault="004A1C26" w:rsidP="004A1C26">
      <w:pPr>
        <w:pStyle w:val="Default"/>
        <w:jc w:val="center"/>
        <w:rPr>
          <w:rStyle w:val="normaltextrun"/>
          <w:rFonts w:ascii="Arial Narrow" w:eastAsia="Times New Roman" w:hAnsi="Arial Narrow" w:cs="Segoe UI"/>
          <w:b/>
          <w:bCs/>
          <w:color w:val="auto"/>
          <w:sz w:val="22"/>
          <w:szCs w:val="22"/>
          <w:lang w:eastAsia="tr-TR"/>
        </w:rPr>
      </w:pPr>
      <w:r w:rsidRPr="003B5A31">
        <w:rPr>
          <w:rStyle w:val="normaltextrun"/>
          <w:rFonts w:ascii="Arial Narrow" w:eastAsia="Times New Roman" w:hAnsi="Arial Narrow" w:cs="Segoe UI"/>
          <w:b/>
          <w:bCs/>
          <w:color w:val="auto"/>
          <w:sz w:val="22"/>
          <w:szCs w:val="22"/>
          <w:lang w:eastAsia="tr-TR"/>
        </w:rPr>
        <w:t>HEDEF PORTFÖY BİRİNCİ BORÇLANMA ARAÇLARI (TL) FONU</w:t>
      </w:r>
    </w:p>
    <w:p w14:paraId="40381807" w14:textId="77777777" w:rsidR="004A1C26" w:rsidRPr="00700FDE" w:rsidRDefault="004A1C26" w:rsidP="004A1C26">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42FE97F0" w14:textId="77777777" w:rsidR="004A1C26" w:rsidRPr="00700FDE" w:rsidRDefault="004A1C26" w:rsidP="004A1C26">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3C17B265" w14:textId="77777777" w:rsidR="004A1C26" w:rsidRPr="00700FDE" w:rsidRDefault="004A1C26" w:rsidP="004A1C26">
      <w:pPr>
        <w:tabs>
          <w:tab w:val="left" w:pos="2730"/>
        </w:tabs>
        <w:jc w:val="center"/>
        <w:rPr>
          <w:rFonts w:ascii="Arial Narrow" w:hAnsi="Arial Narrow"/>
        </w:rPr>
      </w:pPr>
      <w:r w:rsidRPr="00700FDE">
        <w:rPr>
          <w:rFonts w:ascii="Arial Narrow" w:hAnsi="Arial Narrow"/>
        </w:rPr>
        <w:t>KAMUYA AÇIKLANAN BİLGİLERE İLİŞKİN RAPOR</w:t>
      </w:r>
    </w:p>
    <w:p w14:paraId="7423AF38" w14:textId="77777777" w:rsidR="004A1C26" w:rsidRDefault="004A1C26" w:rsidP="004A1C26"/>
    <w:p w14:paraId="3BEF10C8" w14:textId="77777777" w:rsidR="004A1C26" w:rsidRDefault="004A1C26" w:rsidP="00621CF3">
      <w:pPr>
        <w:spacing w:after="0"/>
        <w:rPr>
          <w:rFonts w:ascii="Times New Roman" w:hAnsi="Times New Roman" w:cs="Times New Roman"/>
        </w:rPr>
        <w:sectPr w:rsidR="004A1C26" w:rsidSect="008A60CB">
          <w:headerReference w:type="default" r:id="rId9"/>
          <w:pgSz w:w="11906" w:h="16838"/>
          <w:pgMar w:top="1417" w:right="1417" w:bottom="1417" w:left="1417" w:header="708" w:footer="708" w:gutter="0"/>
          <w:cols w:space="708"/>
          <w:titlePg/>
          <w:docGrid w:linePitch="360"/>
        </w:sectPr>
      </w:pPr>
    </w:p>
    <w:p w14:paraId="7BFC262A"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p>
    <w:p w14:paraId="6130060B" w14:textId="77777777" w:rsidR="004A1C26" w:rsidRDefault="004A1C26" w:rsidP="004A1C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0A64BF12" w14:textId="77777777" w:rsidR="004A1C26" w:rsidRDefault="004A1C26" w:rsidP="004A1C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5602DEAB" w14:textId="77777777" w:rsidR="004A1C26" w:rsidRDefault="004A1C26" w:rsidP="004A1C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47252AC0" w14:textId="77777777" w:rsidR="004A1C26" w:rsidRDefault="004A1C26" w:rsidP="004A1C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77E5DF6A" w14:textId="77777777" w:rsidR="004A1C26" w:rsidRDefault="004A1C26" w:rsidP="004A1C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1351144B" w14:textId="77777777" w:rsidR="004A1C26" w:rsidRDefault="004A1C26" w:rsidP="004A1C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3B5A31">
        <w:rPr>
          <w:rStyle w:val="normaltextrun"/>
          <w:rFonts w:ascii="Arial Narrow" w:hAnsi="Arial Narrow" w:cs="Segoe UI"/>
          <w:b/>
          <w:bCs/>
          <w:sz w:val="22"/>
          <w:szCs w:val="22"/>
        </w:rPr>
        <w:t>HEDEF PORTFÖY BİRİNCİ BORÇLANMA ARAÇLARI (TL) FONU</w:t>
      </w:r>
    </w:p>
    <w:p w14:paraId="28843E9D" w14:textId="77777777" w:rsidR="004A1C26" w:rsidRDefault="004A1C26" w:rsidP="004A1C26">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hAnsi="Arial Narrow" w:cs="Segoe UI"/>
          <w:sz w:val="22"/>
          <w:szCs w:val="22"/>
        </w:rPr>
        <w:t> </w:t>
      </w:r>
    </w:p>
    <w:p w14:paraId="7462DDCE" w14:textId="77777777" w:rsidR="004A1C26" w:rsidRDefault="004A1C26" w:rsidP="004A1C26">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0FE420B3"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DC7260E"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Hedef Portföy </w:t>
      </w:r>
      <w:r w:rsidRPr="003B5A31">
        <w:rPr>
          <w:rStyle w:val="normaltextrun"/>
          <w:rFonts w:ascii="Arial Narrow" w:hAnsi="Arial Narrow" w:cs="Segoe UI"/>
          <w:sz w:val="22"/>
          <w:szCs w:val="22"/>
        </w:rPr>
        <w:t>Birinci Borçlanma Araçları (TL) Fonu</w:t>
      </w:r>
      <w:r>
        <w:rPr>
          <w:rStyle w:val="normaltextrun"/>
          <w:rFonts w:ascii="Arial Narrow" w:hAnsi="Arial Narrow" w:cs="Segoe UI"/>
          <w:sz w:val="22"/>
          <w:szCs w:val="22"/>
        </w:rPr>
        <w:t>’nun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1C0BB550"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83789D2"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55AEE2E7"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14398CD"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0949C4FF"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E1719EA"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074A1774" w14:textId="77777777" w:rsidR="004A1C26" w:rsidRDefault="004A1C26" w:rsidP="004A1C26">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407270EB"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0162AE8F"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1CF467E"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7D01F80"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16553AA2"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5EB7171E"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0FEB191"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5EECF15"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58B3671"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8B45069"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87DB14C"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90792B1"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72936138"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1B05A824"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3103E3A" w14:textId="77777777" w:rsidR="004A1C26" w:rsidRDefault="004A1C26" w:rsidP="004A1C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50DF6502" w14:textId="77777777" w:rsidR="004A1C26" w:rsidRDefault="004A1C26" w:rsidP="00621CF3">
      <w:pPr>
        <w:spacing w:after="0"/>
        <w:rPr>
          <w:rFonts w:ascii="Times New Roman" w:hAnsi="Times New Roman" w:cs="Times New Roman"/>
        </w:rPr>
        <w:sectPr w:rsidR="004A1C26" w:rsidSect="008A60CB">
          <w:headerReference w:type="first" r:id="rId10"/>
          <w:pgSz w:w="11906" w:h="16838"/>
          <w:pgMar w:top="1417" w:right="1417" w:bottom="1417" w:left="1417" w:header="708" w:footer="708" w:gutter="0"/>
          <w:cols w:space="708"/>
          <w:titlePg/>
          <w:docGrid w:linePitch="360"/>
        </w:sectPr>
      </w:pPr>
    </w:p>
    <w:p w14:paraId="40BF73F2" w14:textId="5D639887" w:rsidR="004E72E0" w:rsidRPr="00CD7F05" w:rsidRDefault="004E72E0" w:rsidP="00621CF3">
      <w:pPr>
        <w:spacing w:after="0"/>
        <w:rPr>
          <w:rFonts w:ascii="Times New Roman" w:hAnsi="Times New Roman" w:cs="Times New Roman"/>
        </w:rPr>
      </w:pPr>
    </w:p>
    <w:p w14:paraId="0BCFE8F4" w14:textId="77777777" w:rsidR="006C07D6" w:rsidRPr="00CD7F05" w:rsidRDefault="006C07D6" w:rsidP="00621CF3">
      <w:pPr>
        <w:spacing w:after="0"/>
        <w:rPr>
          <w:rFonts w:ascii="Times New Roman" w:hAnsi="Times New Roman" w:cs="Times New Roman"/>
        </w:rPr>
      </w:pPr>
    </w:p>
    <w:p w14:paraId="42288A8B" w14:textId="77777777" w:rsidR="00032E31" w:rsidRPr="00CD7F05" w:rsidRDefault="00032E31" w:rsidP="00621CF3">
      <w:pPr>
        <w:spacing w:after="0"/>
        <w:rPr>
          <w:rFonts w:ascii="Times New Roman" w:hAnsi="Times New Roman" w:cs="Times New Roman"/>
        </w:rPr>
      </w:pPr>
    </w:p>
    <w:p w14:paraId="2857CF4A" w14:textId="77777777" w:rsidR="00032E31" w:rsidRPr="00CD7F05" w:rsidRDefault="00032E31" w:rsidP="00621CF3">
      <w:pPr>
        <w:spacing w:after="0"/>
        <w:rPr>
          <w:rFonts w:ascii="Times New Roman" w:hAnsi="Times New Roman" w:cs="Times New Roman"/>
        </w:rPr>
      </w:pPr>
    </w:p>
    <w:p w14:paraId="4BB806B9" w14:textId="77777777" w:rsidR="00032E31" w:rsidRPr="00CD7F05" w:rsidRDefault="00032E31" w:rsidP="00621CF3">
      <w:pPr>
        <w:spacing w:after="0"/>
        <w:rPr>
          <w:rFonts w:ascii="Times New Roman" w:hAnsi="Times New Roman" w:cs="Times New Roman"/>
        </w:rPr>
      </w:pPr>
    </w:p>
    <w:p w14:paraId="6DE6D3ED" w14:textId="77777777" w:rsidR="00032E31" w:rsidRPr="00CD7F05" w:rsidRDefault="00032E31" w:rsidP="00621CF3">
      <w:pPr>
        <w:spacing w:after="0"/>
        <w:rPr>
          <w:rFonts w:ascii="Times New Roman" w:hAnsi="Times New Roman" w:cs="Times New Roman"/>
        </w:rPr>
      </w:pPr>
    </w:p>
    <w:p w14:paraId="4B5D1A71" w14:textId="77777777" w:rsidR="00032E31" w:rsidRDefault="00032E31" w:rsidP="00621CF3">
      <w:pPr>
        <w:spacing w:after="0"/>
        <w:rPr>
          <w:rFonts w:ascii="Times New Roman" w:hAnsi="Times New Roman" w:cs="Times New Roman"/>
        </w:rPr>
      </w:pPr>
    </w:p>
    <w:p w14:paraId="0A0C8752" w14:textId="77777777" w:rsidR="004A1C26" w:rsidRDefault="004A1C26" w:rsidP="00621CF3">
      <w:pPr>
        <w:spacing w:after="0"/>
        <w:rPr>
          <w:rFonts w:ascii="Times New Roman" w:hAnsi="Times New Roman" w:cs="Times New Roman"/>
        </w:rPr>
      </w:pPr>
    </w:p>
    <w:p w14:paraId="1DAFFCE1" w14:textId="77777777" w:rsidR="004A1C26" w:rsidRDefault="004A1C26" w:rsidP="00621CF3">
      <w:pPr>
        <w:spacing w:after="0"/>
        <w:rPr>
          <w:rFonts w:ascii="Times New Roman" w:hAnsi="Times New Roman" w:cs="Times New Roman"/>
        </w:rPr>
      </w:pPr>
    </w:p>
    <w:p w14:paraId="0384FE09" w14:textId="77777777" w:rsidR="004A1C26" w:rsidRDefault="004A1C26" w:rsidP="00621CF3">
      <w:pPr>
        <w:spacing w:after="0"/>
        <w:rPr>
          <w:rFonts w:ascii="Times New Roman" w:hAnsi="Times New Roman" w:cs="Times New Roman"/>
        </w:rPr>
      </w:pPr>
    </w:p>
    <w:p w14:paraId="20125EE3" w14:textId="77777777" w:rsidR="004A1C26" w:rsidRDefault="004A1C26" w:rsidP="00621CF3">
      <w:pPr>
        <w:spacing w:after="0"/>
        <w:rPr>
          <w:rFonts w:ascii="Times New Roman" w:hAnsi="Times New Roman" w:cs="Times New Roman"/>
        </w:rPr>
      </w:pPr>
    </w:p>
    <w:p w14:paraId="7BCEE61B" w14:textId="77777777" w:rsidR="004A1C26" w:rsidRDefault="004A1C26" w:rsidP="00621CF3">
      <w:pPr>
        <w:spacing w:after="0"/>
        <w:rPr>
          <w:rFonts w:ascii="Times New Roman" w:hAnsi="Times New Roman" w:cs="Times New Roman"/>
        </w:rPr>
      </w:pPr>
    </w:p>
    <w:p w14:paraId="4B5E8A20" w14:textId="77777777" w:rsidR="004A1C26" w:rsidRDefault="004A1C26" w:rsidP="00621CF3">
      <w:pPr>
        <w:spacing w:after="0"/>
        <w:rPr>
          <w:rFonts w:ascii="Times New Roman" w:hAnsi="Times New Roman" w:cs="Times New Roman"/>
        </w:rPr>
      </w:pPr>
    </w:p>
    <w:p w14:paraId="04E5D242" w14:textId="77777777" w:rsidR="004A1C26" w:rsidRPr="00CD7F05" w:rsidRDefault="004A1C26" w:rsidP="00621CF3">
      <w:pPr>
        <w:spacing w:after="0"/>
        <w:rPr>
          <w:rFonts w:ascii="Times New Roman" w:hAnsi="Times New Roman" w:cs="Times New Roman"/>
        </w:rPr>
      </w:pPr>
    </w:p>
    <w:p w14:paraId="4DCC37E4" w14:textId="77777777" w:rsidR="00032E31" w:rsidRPr="00CD7F05" w:rsidRDefault="00032E31" w:rsidP="00621CF3">
      <w:pPr>
        <w:spacing w:after="0"/>
        <w:rPr>
          <w:rFonts w:ascii="Times New Roman" w:hAnsi="Times New Roman" w:cs="Times New Roman"/>
        </w:rPr>
      </w:pPr>
    </w:p>
    <w:p w14:paraId="2E8913AD" w14:textId="77777777" w:rsidR="00032E31" w:rsidRPr="00CD7F05" w:rsidRDefault="00032E31" w:rsidP="00621CF3">
      <w:pPr>
        <w:spacing w:after="0"/>
        <w:rPr>
          <w:rFonts w:ascii="Times New Roman" w:hAnsi="Times New Roman" w:cs="Times New Roman"/>
        </w:rPr>
      </w:pPr>
    </w:p>
    <w:p w14:paraId="5BC49243" w14:textId="77777777" w:rsidR="00032E31" w:rsidRPr="00CD7F05" w:rsidRDefault="00032E31" w:rsidP="00621CF3">
      <w:pPr>
        <w:spacing w:after="0"/>
        <w:rPr>
          <w:rFonts w:ascii="Times New Roman" w:hAnsi="Times New Roman" w:cs="Times New Roman"/>
        </w:rPr>
      </w:pPr>
    </w:p>
    <w:p w14:paraId="1F2BF9F2" w14:textId="77777777" w:rsidR="006C07D6" w:rsidRPr="00CD7F05" w:rsidRDefault="006C07D6" w:rsidP="00621CF3">
      <w:pPr>
        <w:spacing w:after="0"/>
        <w:rPr>
          <w:rFonts w:ascii="Times New Roman" w:hAnsi="Times New Roman" w:cs="Times New Roman"/>
        </w:rPr>
      </w:pPr>
    </w:p>
    <w:p w14:paraId="75207813" w14:textId="77777777" w:rsidR="006C07D6" w:rsidRPr="00CD7F05" w:rsidRDefault="006C07D6" w:rsidP="00621CF3">
      <w:pPr>
        <w:spacing w:after="0"/>
        <w:rPr>
          <w:rFonts w:ascii="Times New Roman" w:hAnsi="Times New Roman" w:cs="Times New Roman"/>
          <w:sz w:val="24"/>
          <w:szCs w:val="24"/>
        </w:rPr>
      </w:pPr>
    </w:p>
    <w:p w14:paraId="4EA77FAF" w14:textId="1D54A49E" w:rsidR="00EC15BE" w:rsidRPr="00CD7F05" w:rsidRDefault="00621CF3" w:rsidP="006554C1">
      <w:pPr>
        <w:spacing w:after="0"/>
        <w:jc w:val="center"/>
        <w:rPr>
          <w:rFonts w:ascii="Times New Roman" w:hAnsi="Times New Roman" w:cs="Times New Roman"/>
          <w:b/>
          <w:sz w:val="28"/>
          <w:szCs w:val="28"/>
        </w:rPr>
      </w:pPr>
      <w:r w:rsidRPr="00CD7F05">
        <w:rPr>
          <w:rFonts w:ascii="Times New Roman" w:hAnsi="Times New Roman" w:cs="Times New Roman"/>
          <w:b/>
          <w:sz w:val="28"/>
          <w:szCs w:val="28"/>
        </w:rPr>
        <w:t xml:space="preserve">HEDEF PORTFÖY </w:t>
      </w:r>
      <w:r w:rsidR="00423F90" w:rsidRPr="00CD7F05">
        <w:rPr>
          <w:rFonts w:ascii="Times New Roman" w:hAnsi="Times New Roman" w:cs="Times New Roman"/>
          <w:b/>
          <w:sz w:val="28"/>
          <w:szCs w:val="28"/>
        </w:rPr>
        <w:t>BİRİNCİ BORÇLANMA ARAÇLARI</w:t>
      </w:r>
      <w:r w:rsidR="00906896" w:rsidRPr="00CD7F05">
        <w:rPr>
          <w:rFonts w:ascii="Times New Roman" w:hAnsi="Times New Roman" w:cs="Times New Roman"/>
          <w:b/>
          <w:sz w:val="28"/>
          <w:szCs w:val="28"/>
        </w:rPr>
        <w:t>(TL)</w:t>
      </w:r>
      <w:r w:rsidR="00423F90" w:rsidRPr="00CD7F05">
        <w:rPr>
          <w:rFonts w:ascii="Times New Roman" w:hAnsi="Times New Roman" w:cs="Times New Roman"/>
          <w:b/>
          <w:sz w:val="28"/>
          <w:szCs w:val="28"/>
        </w:rPr>
        <w:t xml:space="preserve"> FONU</w:t>
      </w:r>
    </w:p>
    <w:p w14:paraId="41D4027C" w14:textId="77777777" w:rsidR="00621CF3" w:rsidRPr="00CD7F05" w:rsidRDefault="00621CF3" w:rsidP="00621CF3">
      <w:pPr>
        <w:spacing w:after="0"/>
        <w:jc w:val="center"/>
        <w:rPr>
          <w:rFonts w:ascii="Times New Roman" w:hAnsi="Times New Roman" w:cs="Times New Roman"/>
          <w:sz w:val="24"/>
          <w:szCs w:val="24"/>
        </w:rPr>
      </w:pPr>
    </w:p>
    <w:p w14:paraId="7D7018FF" w14:textId="71D2964C" w:rsidR="00621CF3" w:rsidRPr="00CD7F05" w:rsidRDefault="00660067" w:rsidP="00621CF3">
      <w:pPr>
        <w:spacing w:after="0"/>
        <w:jc w:val="center"/>
        <w:rPr>
          <w:rFonts w:ascii="Times New Roman" w:hAnsi="Times New Roman" w:cs="Times New Roman"/>
          <w:sz w:val="24"/>
          <w:szCs w:val="24"/>
        </w:rPr>
      </w:pPr>
      <w:r>
        <w:rPr>
          <w:rFonts w:ascii="Times New Roman" w:hAnsi="Times New Roman" w:cs="Times New Roman"/>
          <w:sz w:val="24"/>
          <w:szCs w:val="24"/>
        </w:rPr>
        <w:t>01</w:t>
      </w:r>
      <w:r w:rsidR="00232ADF" w:rsidRPr="00CD7F05">
        <w:rPr>
          <w:rFonts w:ascii="Times New Roman" w:hAnsi="Times New Roman" w:cs="Times New Roman"/>
          <w:sz w:val="24"/>
          <w:szCs w:val="24"/>
        </w:rPr>
        <w:t xml:space="preserve"> OCAK</w:t>
      </w:r>
      <w:r w:rsidR="00CE6762" w:rsidRPr="00CD7F05">
        <w:rPr>
          <w:rFonts w:ascii="Times New Roman" w:hAnsi="Times New Roman" w:cs="Times New Roman"/>
          <w:sz w:val="24"/>
          <w:szCs w:val="24"/>
        </w:rPr>
        <w:t xml:space="preserve"> –</w:t>
      </w:r>
      <w:r w:rsidR="00F05C03">
        <w:rPr>
          <w:rFonts w:ascii="Times New Roman" w:hAnsi="Times New Roman" w:cs="Times New Roman"/>
          <w:sz w:val="24"/>
          <w:szCs w:val="24"/>
        </w:rPr>
        <w:t xml:space="preserve"> </w:t>
      </w:r>
      <w:r w:rsidR="00F05C03" w:rsidRPr="00F05C03">
        <w:rPr>
          <w:rFonts w:ascii="Times New Roman" w:hAnsi="Times New Roman" w:cs="Times New Roman"/>
          <w:sz w:val="24"/>
          <w:szCs w:val="24"/>
        </w:rPr>
        <w:t xml:space="preserve">30 HAZİRAN 2024 </w:t>
      </w:r>
      <w:r w:rsidR="00621CF3" w:rsidRPr="00CD7F05">
        <w:rPr>
          <w:rFonts w:ascii="Times New Roman" w:hAnsi="Times New Roman" w:cs="Times New Roman"/>
          <w:sz w:val="24"/>
          <w:szCs w:val="24"/>
        </w:rPr>
        <w:t xml:space="preserve">DÖNEMİNE AİT </w:t>
      </w:r>
    </w:p>
    <w:p w14:paraId="507BF98E" w14:textId="0AA59EDA" w:rsidR="00621CF3" w:rsidRPr="00CD7F05" w:rsidRDefault="00621CF3" w:rsidP="00621CF3">
      <w:pPr>
        <w:spacing w:after="0"/>
        <w:jc w:val="center"/>
        <w:rPr>
          <w:rFonts w:ascii="Times New Roman" w:hAnsi="Times New Roman" w:cs="Times New Roman"/>
          <w:sz w:val="24"/>
          <w:szCs w:val="24"/>
        </w:rPr>
      </w:pPr>
      <w:r w:rsidRPr="00CD7F05">
        <w:rPr>
          <w:rFonts w:ascii="Times New Roman" w:hAnsi="Times New Roman" w:cs="Times New Roman"/>
          <w:sz w:val="24"/>
          <w:szCs w:val="24"/>
        </w:rPr>
        <w:t>PERFORMANS SUNU</w:t>
      </w:r>
      <w:r w:rsidR="007403AA" w:rsidRPr="00CD7F05">
        <w:rPr>
          <w:rFonts w:ascii="Times New Roman" w:hAnsi="Times New Roman" w:cs="Times New Roman"/>
          <w:sz w:val="24"/>
          <w:szCs w:val="24"/>
        </w:rPr>
        <w:t>M</w:t>
      </w:r>
      <w:r w:rsidRPr="00CD7F05">
        <w:rPr>
          <w:rFonts w:ascii="Times New Roman" w:hAnsi="Times New Roman" w:cs="Times New Roman"/>
          <w:sz w:val="24"/>
          <w:szCs w:val="24"/>
        </w:rPr>
        <w:t xml:space="preserve"> RAPORU</w:t>
      </w:r>
    </w:p>
    <w:p w14:paraId="3F218D6F" w14:textId="77777777" w:rsidR="00621CF3" w:rsidRPr="00CD7F05" w:rsidRDefault="00621CF3" w:rsidP="00621CF3">
      <w:pPr>
        <w:spacing w:after="0"/>
        <w:jc w:val="center"/>
        <w:rPr>
          <w:rFonts w:ascii="Times New Roman" w:hAnsi="Times New Roman" w:cs="Times New Roman"/>
          <w:sz w:val="24"/>
          <w:szCs w:val="24"/>
        </w:rPr>
      </w:pPr>
    </w:p>
    <w:p w14:paraId="053BB4CB" w14:textId="77777777" w:rsidR="00621CF3" w:rsidRPr="00CD7F05" w:rsidRDefault="00621CF3" w:rsidP="00621CF3">
      <w:pPr>
        <w:spacing w:after="0"/>
        <w:jc w:val="center"/>
        <w:rPr>
          <w:rFonts w:ascii="Times New Roman" w:hAnsi="Times New Roman" w:cs="Times New Roman"/>
          <w:sz w:val="24"/>
          <w:szCs w:val="24"/>
        </w:rPr>
      </w:pPr>
    </w:p>
    <w:p w14:paraId="5E937E93" w14:textId="77777777" w:rsidR="00621CF3" w:rsidRPr="00CD7F05" w:rsidRDefault="00621CF3" w:rsidP="00621CF3">
      <w:pPr>
        <w:spacing w:after="0"/>
        <w:jc w:val="center"/>
        <w:rPr>
          <w:rFonts w:ascii="Times New Roman" w:hAnsi="Times New Roman" w:cs="Times New Roman"/>
          <w:sz w:val="24"/>
          <w:szCs w:val="24"/>
        </w:rPr>
      </w:pPr>
    </w:p>
    <w:p w14:paraId="5B6BBB65" w14:textId="77777777" w:rsidR="00621CF3" w:rsidRPr="00CD7F05" w:rsidRDefault="00621CF3" w:rsidP="00621CF3">
      <w:pPr>
        <w:spacing w:after="0"/>
        <w:jc w:val="center"/>
        <w:rPr>
          <w:rFonts w:ascii="Times New Roman" w:hAnsi="Times New Roman" w:cs="Times New Roman"/>
          <w:sz w:val="24"/>
          <w:szCs w:val="24"/>
        </w:rPr>
      </w:pPr>
    </w:p>
    <w:p w14:paraId="4F010468" w14:textId="77777777" w:rsidR="00621CF3" w:rsidRPr="00CD7F05" w:rsidRDefault="00621CF3" w:rsidP="00621CF3">
      <w:pPr>
        <w:spacing w:after="0"/>
        <w:jc w:val="center"/>
        <w:rPr>
          <w:rFonts w:ascii="Times New Roman" w:hAnsi="Times New Roman" w:cs="Times New Roman"/>
          <w:sz w:val="24"/>
          <w:szCs w:val="24"/>
        </w:rPr>
      </w:pPr>
    </w:p>
    <w:p w14:paraId="7512E724" w14:textId="77777777" w:rsidR="00621CF3" w:rsidRPr="00CD7F05" w:rsidRDefault="00621CF3" w:rsidP="00621CF3">
      <w:pPr>
        <w:spacing w:after="0"/>
        <w:jc w:val="center"/>
        <w:rPr>
          <w:rFonts w:ascii="Times New Roman" w:hAnsi="Times New Roman" w:cs="Times New Roman"/>
          <w:sz w:val="24"/>
          <w:szCs w:val="24"/>
        </w:rPr>
      </w:pPr>
    </w:p>
    <w:p w14:paraId="713A365A" w14:textId="77777777" w:rsidR="00621CF3" w:rsidRPr="00CD7F05" w:rsidRDefault="00621CF3" w:rsidP="00621CF3">
      <w:pPr>
        <w:spacing w:after="0"/>
        <w:jc w:val="center"/>
        <w:rPr>
          <w:rFonts w:ascii="Times New Roman" w:hAnsi="Times New Roman" w:cs="Times New Roman"/>
          <w:sz w:val="24"/>
          <w:szCs w:val="24"/>
        </w:rPr>
      </w:pPr>
    </w:p>
    <w:p w14:paraId="614418A6" w14:textId="77777777" w:rsidR="00621CF3" w:rsidRPr="00CD7F05" w:rsidRDefault="00621CF3" w:rsidP="00621CF3">
      <w:pPr>
        <w:spacing w:after="0"/>
        <w:jc w:val="center"/>
        <w:rPr>
          <w:rFonts w:ascii="Times New Roman" w:hAnsi="Times New Roman" w:cs="Times New Roman"/>
          <w:sz w:val="24"/>
          <w:szCs w:val="24"/>
        </w:rPr>
      </w:pPr>
    </w:p>
    <w:p w14:paraId="3B4D1E78" w14:textId="77777777" w:rsidR="00AD4058" w:rsidRDefault="00AD4058" w:rsidP="00621CF3">
      <w:pPr>
        <w:spacing w:after="0"/>
        <w:jc w:val="center"/>
        <w:rPr>
          <w:rFonts w:ascii="Times New Roman" w:hAnsi="Times New Roman" w:cs="Times New Roman"/>
          <w:sz w:val="24"/>
          <w:szCs w:val="24"/>
        </w:rPr>
      </w:pPr>
    </w:p>
    <w:p w14:paraId="7FBFDF47" w14:textId="77777777" w:rsidR="004A1C26" w:rsidRPr="00CD7F05" w:rsidRDefault="004A1C26" w:rsidP="00621CF3">
      <w:pPr>
        <w:spacing w:after="0"/>
        <w:jc w:val="center"/>
        <w:rPr>
          <w:rFonts w:ascii="Times New Roman" w:hAnsi="Times New Roman" w:cs="Times New Roman"/>
          <w:sz w:val="24"/>
          <w:szCs w:val="24"/>
        </w:rPr>
      </w:pPr>
    </w:p>
    <w:p w14:paraId="1896A542" w14:textId="77777777" w:rsidR="00AD4058" w:rsidRPr="00CD7F05" w:rsidRDefault="00AD4058" w:rsidP="00621CF3">
      <w:pPr>
        <w:spacing w:after="0"/>
        <w:jc w:val="center"/>
        <w:rPr>
          <w:rFonts w:ascii="Times New Roman" w:hAnsi="Times New Roman" w:cs="Times New Roman"/>
          <w:sz w:val="24"/>
          <w:szCs w:val="24"/>
        </w:rPr>
      </w:pPr>
    </w:p>
    <w:p w14:paraId="664E8946" w14:textId="77777777" w:rsidR="00AD4058" w:rsidRPr="00CD7F05" w:rsidRDefault="00AD4058" w:rsidP="00621CF3">
      <w:pPr>
        <w:spacing w:after="0"/>
        <w:jc w:val="center"/>
        <w:rPr>
          <w:rFonts w:ascii="Times New Roman" w:hAnsi="Times New Roman" w:cs="Times New Roman"/>
          <w:sz w:val="24"/>
          <w:szCs w:val="24"/>
        </w:rPr>
      </w:pPr>
    </w:p>
    <w:p w14:paraId="6DF53A63" w14:textId="77777777" w:rsidR="00621CF3" w:rsidRPr="00CD7F05" w:rsidRDefault="00621CF3" w:rsidP="00621CF3">
      <w:pPr>
        <w:spacing w:after="0"/>
        <w:jc w:val="center"/>
        <w:rPr>
          <w:rFonts w:ascii="Times New Roman" w:hAnsi="Times New Roman" w:cs="Times New Roman"/>
          <w:sz w:val="24"/>
          <w:szCs w:val="24"/>
        </w:rPr>
      </w:pPr>
    </w:p>
    <w:p w14:paraId="73CDE0BF" w14:textId="77777777" w:rsidR="00621CF3" w:rsidRPr="00CD7F05" w:rsidRDefault="00621CF3" w:rsidP="00621CF3">
      <w:pPr>
        <w:spacing w:after="0"/>
        <w:jc w:val="center"/>
        <w:rPr>
          <w:rFonts w:ascii="Times New Roman" w:hAnsi="Times New Roman" w:cs="Times New Roman"/>
          <w:sz w:val="24"/>
          <w:szCs w:val="24"/>
        </w:rPr>
      </w:pPr>
    </w:p>
    <w:p w14:paraId="3C33F819" w14:textId="77777777" w:rsidR="00621CF3" w:rsidRPr="00CD7F05" w:rsidRDefault="00621CF3" w:rsidP="00621CF3">
      <w:pPr>
        <w:spacing w:after="0"/>
        <w:jc w:val="center"/>
        <w:rPr>
          <w:rFonts w:ascii="Times New Roman" w:hAnsi="Times New Roman" w:cs="Times New Roman"/>
          <w:sz w:val="24"/>
          <w:szCs w:val="24"/>
        </w:rPr>
      </w:pPr>
    </w:p>
    <w:p w14:paraId="30C1A289" w14:textId="77777777" w:rsidR="00621CF3" w:rsidRPr="00CD7F05" w:rsidRDefault="00621CF3" w:rsidP="00621CF3">
      <w:pPr>
        <w:spacing w:after="0"/>
        <w:jc w:val="center"/>
        <w:rPr>
          <w:rFonts w:ascii="Times New Roman" w:hAnsi="Times New Roman" w:cs="Times New Roman"/>
          <w:sz w:val="24"/>
          <w:szCs w:val="24"/>
        </w:rPr>
      </w:pPr>
    </w:p>
    <w:p w14:paraId="0F85383D" w14:textId="77777777" w:rsidR="00621CF3" w:rsidRPr="00CD7F05" w:rsidRDefault="00621CF3" w:rsidP="00621CF3">
      <w:pPr>
        <w:spacing w:after="0"/>
        <w:jc w:val="center"/>
        <w:rPr>
          <w:rFonts w:ascii="Times New Roman" w:hAnsi="Times New Roman" w:cs="Times New Roman"/>
          <w:sz w:val="24"/>
          <w:szCs w:val="24"/>
        </w:rPr>
      </w:pPr>
    </w:p>
    <w:p w14:paraId="04CB472B" w14:textId="77777777" w:rsidR="00621CF3" w:rsidRPr="00CD7F05" w:rsidRDefault="00621CF3" w:rsidP="00621CF3">
      <w:pPr>
        <w:spacing w:after="0"/>
        <w:jc w:val="center"/>
        <w:rPr>
          <w:rFonts w:ascii="Times New Roman" w:hAnsi="Times New Roman" w:cs="Times New Roman"/>
          <w:sz w:val="24"/>
          <w:szCs w:val="24"/>
        </w:rPr>
      </w:pPr>
    </w:p>
    <w:p w14:paraId="0575E948" w14:textId="77777777" w:rsidR="00621CF3" w:rsidRPr="00CD7F05" w:rsidRDefault="00621CF3" w:rsidP="00621CF3">
      <w:pPr>
        <w:spacing w:after="0"/>
        <w:jc w:val="center"/>
        <w:rPr>
          <w:rFonts w:ascii="Times New Roman" w:hAnsi="Times New Roman" w:cs="Times New Roman"/>
          <w:sz w:val="24"/>
          <w:szCs w:val="24"/>
        </w:rPr>
      </w:pPr>
    </w:p>
    <w:p w14:paraId="17832C86" w14:textId="77777777" w:rsidR="00621CF3" w:rsidRPr="00CD7F05" w:rsidRDefault="00621CF3" w:rsidP="00621CF3">
      <w:pPr>
        <w:spacing w:after="0"/>
        <w:jc w:val="center"/>
        <w:rPr>
          <w:rFonts w:ascii="Times New Roman" w:hAnsi="Times New Roman" w:cs="Times New Roman"/>
          <w:sz w:val="24"/>
          <w:szCs w:val="24"/>
        </w:rPr>
      </w:pPr>
    </w:p>
    <w:p w14:paraId="1E4FE174" w14:textId="77777777" w:rsidR="00621CF3" w:rsidRPr="00CD7F05" w:rsidRDefault="00621CF3" w:rsidP="00621CF3">
      <w:pPr>
        <w:spacing w:after="0"/>
        <w:jc w:val="center"/>
        <w:rPr>
          <w:rFonts w:ascii="Times New Roman" w:hAnsi="Times New Roman" w:cs="Times New Roman"/>
          <w:sz w:val="24"/>
          <w:szCs w:val="24"/>
        </w:rPr>
      </w:pPr>
    </w:p>
    <w:p w14:paraId="7988F1A2" w14:textId="77777777" w:rsidR="00621CF3" w:rsidRPr="00CD7F05" w:rsidRDefault="00621CF3" w:rsidP="00621CF3">
      <w:pPr>
        <w:spacing w:after="0"/>
        <w:jc w:val="center"/>
        <w:rPr>
          <w:rFonts w:ascii="Times New Roman" w:hAnsi="Times New Roman" w:cs="Times New Roman"/>
          <w:sz w:val="24"/>
          <w:szCs w:val="24"/>
        </w:rPr>
      </w:pPr>
    </w:p>
    <w:p w14:paraId="15AAD388" w14:textId="77777777" w:rsidR="00621CF3" w:rsidRPr="00CD7F05" w:rsidRDefault="00621CF3" w:rsidP="00621CF3">
      <w:pPr>
        <w:spacing w:after="0"/>
        <w:jc w:val="center"/>
        <w:rPr>
          <w:rFonts w:ascii="Times New Roman" w:hAnsi="Times New Roman" w:cs="Times New Roman"/>
          <w:sz w:val="24"/>
          <w:szCs w:val="24"/>
        </w:rPr>
      </w:pPr>
    </w:p>
    <w:p w14:paraId="5581CFA9" w14:textId="77777777" w:rsidR="00621CF3" w:rsidRPr="00CD7F05" w:rsidRDefault="00621CF3" w:rsidP="00621CF3">
      <w:pPr>
        <w:spacing w:after="0"/>
        <w:jc w:val="center"/>
        <w:rPr>
          <w:rFonts w:ascii="Times New Roman" w:hAnsi="Times New Roman" w:cs="Times New Roman"/>
          <w:sz w:val="24"/>
          <w:szCs w:val="24"/>
        </w:rPr>
      </w:pPr>
    </w:p>
    <w:p w14:paraId="70087CA1" w14:textId="77777777" w:rsidR="00621CF3" w:rsidRPr="00CD7F05" w:rsidRDefault="00621CF3" w:rsidP="00621CF3">
      <w:pPr>
        <w:spacing w:after="0"/>
        <w:jc w:val="center"/>
        <w:rPr>
          <w:rFonts w:ascii="Times New Roman" w:hAnsi="Times New Roman" w:cs="Times New Roman"/>
          <w:sz w:val="24"/>
          <w:szCs w:val="24"/>
        </w:rPr>
      </w:pPr>
    </w:p>
    <w:p w14:paraId="36772C9F" w14:textId="77777777" w:rsidR="00621CF3" w:rsidRPr="00CD7F05" w:rsidRDefault="00621CF3" w:rsidP="00621CF3">
      <w:pPr>
        <w:pStyle w:val="ListeParagraf"/>
        <w:numPr>
          <w:ilvl w:val="0"/>
          <w:numId w:val="1"/>
        </w:numPr>
        <w:rPr>
          <w:rFonts w:ascii="Times New Roman" w:hAnsi="Times New Roman" w:cs="Times New Roman"/>
          <w:b/>
          <w:sz w:val="24"/>
          <w:szCs w:val="24"/>
        </w:rPr>
      </w:pPr>
      <w:r w:rsidRPr="00CD7F05">
        <w:rPr>
          <w:rFonts w:ascii="Times New Roman" w:hAnsi="Times New Roman" w:cs="Times New Roman"/>
          <w:b/>
          <w:sz w:val="24"/>
          <w:szCs w:val="24"/>
        </w:rPr>
        <w:lastRenderedPageBreak/>
        <w:t>TANITICI BİLGİLER</w:t>
      </w:r>
    </w:p>
    <w:tbl>
      <w:tblPr>
        <w:tblStyle w:val="TabloKlavuzu"/>
        <w:tblW w:w="9464" w:type="dxa"/>
        <w:tblLook w:val="04A0" w:firstRow="1" w:lastRow="0" w:firstColumn="1" w:lastColumn="0" w:noHBand="0" w:noVBand="1"/>
      </w:tblPr>
      <w:tblGrid>
        <w:gridCol w:w="1823"/>
        <w:gridCol w:w="1716"/>
        <w:gridCol w:w="5925"/>
      </w:tblGrid>
      <w:tr w:rsidR="001B1348" w:rsidRPr="00CD7F05" w14:paraId="1687B3A0" w14:textId="77777777" w:rsidTr="0096176B">
        <w:trPr>
          <w:trHeight w:val="818"/>
        </w:trPr>
        <w:tc>
          <w:tcPr>
            <w:tcW w:w="3539" w:type="dxa"/>
            <w:gridSpan w:val="2"/>
          </w:tcPr>
          <w:p w14:paraId="14F7997E" w14:textId="77777777" w:rsidR="001B1348" w:rsidRPr="00CD7F05" w:rsidRDefault="001B1348" w:rsidP="001B1348">
            <w:pPr>
              <w:jc w:val="center"/>
              <w:rPr>
                <w:rFonts w:ascii="Times New Roman" w:hAnsi="Times New Roman" w:cs="Times New Roman"/>
                <w:b/>
                <w:sz w:val="24"/>
                <w:szCs w:val="24"/>
              </w:rPr>
            </w:pPr>
            <w:r w:rsidRPr="00CD7F05">
              <w:rPr>
                <w:rFonts w:ascii="Times New Roman" w:hAnsi="Times New Roman" w:cs="Times New Roman"/>
                <w:b/>
                <w:sz w:val="24"/>
                <w:szCs w:val="24"/>
              </w:rPr>
              <w:t>PORTFÖYE BAKIŞ</w:t>
            </w:r>
          </w:p>
          <w:p w14:paraId="79C8466B" w14:textId="77777777" w:rsidR="001B1348" w:rsidRPr="00CD7F05" w:rsidRDefault="001B1348" w:rsidP="001B1348">
            <w:pPr>
              <w:jc w:val="center"/>
              <w:rPr>
                <w:rFonts w:ascii="Times New Roman" w:hAnsi="Times New Roman" w:cs="Times New Roman"/>
                <w:sz w:val="24"/>
                <w:szCs w:val="24"/>
              </w:rPr>
            </w:pPr>
            <w:r w:rsidRPr="00CD7F05">
              <w:rPr>
                <w:rFonts w:ascii="Times New Roman" w:hAnsi="Times New Roman" w:cs="Times New Roman"/>
                <w:sz w:val="24"/>
                <w:szCs w:val="24"/>
              </w:rPr>
              <w:t>Fon’un Halka Arz Tarihi:</w:t>
            </w:r>
          </w:p>
          <w:p w14:paraId="13427A4C" w14:textId="42B433D2" w:rsidR="001B1348" w:rsidRPr="00CD7F05" w:rsidRDefault="00423F90" w:rsidP="001B1348">
            <w:pPr>
              <w:jc w:val="center"/>
              <w:rPr>
                <w:rFonts w:ascii="Times New Roman" w:hAnsi="Times New Roman" w:cs="Times New Roman"/>
                <w:sz w:val="24"/>
                <w:szCs w:val="24"/>
              </w:rPr>
            </w:pPr>
            <w:r w:rsidRPr="00CD7F05">
              <w:rPr>
                <w:rFonts w:ascii="Times New Roman" w:hAnsi="Times New Roman" w:cs="Times New Roman"/>
                <w:sz w:val="24"/>
                <w:szCs w:val="24"/>
              </w:rPr>
              <w:t>1</w:t>
            </w:r>
            <w:r w:rsidR="008C34E8" w:rsidRPr="00CD7F05">
              <w:rPr>
                <w:rFonts w:ascii="Times New Roman" w:hAnsi="Times New Roman" w:cs="Times New Roman"/>
                <w:sz w:val="24"/>
                <w:szCs w:val="24"/>
              </w:rPr>
              <w:t>4</w:t>
            </w:r>
            <w:r w:rsidR="00EC15BE" w:rsidRPr="00CD7F05">
              <w:rPr>
                <w:rFonts w:ascii="Times New Roman" w:hAnsi="Times New Roman" w:cs="Times New Roman"/>
                <w:sz w:val="24"/>
                <w:szCs w:val="24"/>
              </w:rPr>
              <w:t xml:space="preserve"> </w:t>
            </w:r>
            <w:r w:rsidRPr="00CD7F05">
              <w:rPr>
                <w:rFonts w:ascii="Times New Roman" w:hAnsi="Times New Roman" w:cs="Times New Roman"/>
                <w:sz w:val="24"/>
                <w:szCs w:val="24"/>
              </w:rPr>
              <w:t>Ocak</w:t>
            </w:r>
            <w:r w:rsidR="001B1348" w:rsidRPr="00CD7F05">
              <w:rPr>
                <w:rFonts w:ascii="Times New Roman" w:hAnsi="Times New Roman" w:cs="Times New Roman"/>
                <w:sz w:val="24"/>
                <w:szCs w:val="24"/>
              </w:rPr>
              <w:t xml:space="preserve"> 20</w:t>
            </w:r>
            <w:r w:rsidR="00EC15BE" w:rsidRPr="00CD7F05">
              <w:rPr>
                <w:rFonts w:ascii="Times New Roman" w:hAnsi="Times New Roman" w:cs="Times New Roman"/>
                <w:sz w:val="24"/>
                <w:szCs w:val="24"/>
              </w:rPr>
              <w:t>2</w:t>
            </w:r>
            <w:r w:rsidRPr="00CD7F05">
              <w:rPr>
                <w:rFonts w:ascii="Times New Roman" w:hAnsi="Times New Roman" w:cs="Times New Roman"/>
                <w:sz w:val="24"/>
                <w:szCs w:val="24"/>
              </w:rPr>
              <w:t>2</w:t>
            </w:r>
          </w:p>
        </w:tc>
        <w:tc>
          <w:tcPr>
            <w:tcW w:w="5925" w:type="dxa"/>
          </w:tcPr>
          <w:p w14:paraId="785A8029" w14:textId="77777777" w:rsidR="001B1348" w:rsidRPr="00CD7F05" w:rsidRDefault="001B1348" w:rsidP="001B1348">
            <w:pPr>
              <w:jc w:val="center"/>
              <w:rPr>
                <w:rFonts w:ascii="Times New Roman" w:hAnsi="Times New Roman" w:cs="Times New Roman"/>
                <w:b/>
                <w:sz w:val="24"/>
                <w:szCs w:val="24"/>
              </w:rPr>
            </w:pPr>
          </w:p>
          <w:p w14:paraId="42F39AD5" w14:textId="77777777" w:rsidR="001B1348" w:rsidRPr="00CD7F05" w:rsidRDefault="001B1348" w:rsidP="001B1348">
            <w:pPr>
              <w:jc w:val="center"/>
              <w:rPr>
                <w:rFonts w:ascii="Times New Roman" w:hAnsi="Times New Roman" w:cs="Times New Roman"/>
                <w:b/>
                <w:sz w:val="24"/>
                <w:szCs w:val="24"/>
              </w:rPr>
            </w:pPr>
            <w:r w:rsidRPr="00CD7F05">
              <w:rPr>
                <w:rFonts w:ascii="Times New Roman" w:hAnsi="Times New Roman" w:cs="Times New Roman"/>
                <w:b/>
                <w:sz w:val="24"/>
                <w:szCs w:val="24"/>
              </w:rPr>
              <w:t>YATIRIM VE YÖNETİME İLİŞKİN BİLGİLER</w:t>
            </w:r>
          </w:p>
        </w:tc>
      </w:tr>
      <w:tr w:rsidR="001B1348" w:rsidRPr="00CD7F05" w14:paraId="52D08609" w14:textId="77777777" w:rsidTr="0096176B">
        <w:trPr>
          <w:trHeight w:val="272"/>
        </w:trPr>
        <w:tc>
          <w:tcPr>
            <w:tcW w:w="3539" w:type="dxa"/>
            <w:gridSpan w:val="2"/>
          </w:tcPr>
          <w:p w14:paraId="6F02B738" w14:textId="7F628D2B" w:rsidR="001B1348" w:rsidRPr="00CD7F05" w:rsidRDefault="00FA1809" w:rsidP="007D75CD">
            <w:pPr>
              <w:jc w:val="center"/>
              <w:rPr>
                <w:rFonts w:ascii="Times New Roman" w:hAnsi="Times New Roman" w:cs="Times New Roman"/>
                <w:b/>
                <w:sz w:val="24"/>
                <w:szCs w:val="24"/>
              </w:rPr>
            </w:pPr>
            <w:r w:rsidRPr="00FA1809">
              <w:rPr>
                <w:rFonts w:ascii="Times New Roman" w:hAnsi="Times New Roman" w:cs="Times New Roman"/>
                <w:b/>
                <w:sz w:val="24"/>
                <w:szCs w:val="24"/>
              </w:rPr>
              <w:t>30 Haziran 2024 itibariyle</w:t>
            </w:r>
          </w:p>
        </w:tc>
        <w:tc>
          <w:tcPr>
            <w:tcW w:w="5925" w:type="dxa"/>
          </w:tcPr>
          <w:p w14:paraId="563BE517" w14:textId="77777777" w:rsidR="001B1348" w:rsidRPr="00CD7F05" w:rsidRDefault="001B1348" w:rsidP="001B1348">
            <w:pPr>
              <w:jc w:val="center"/>
              <w:rPr>
                <w:rFonts w:ascii="Times New Roman" w:hAnsi="Times New Roman" w:cs="Times New Roman"/>
                <w:b/>
                <w:sz w:val="24"/>
                <w:szCs w:val="24"/>
              </w:rPr>
            </w:pPr>
            <w:r w:rsidRPr="00CD7F05">
              <w:rPr>
                <w:rFonts w:ascii="Times New Roman" w:hAnsi="Times New Roman" w:cs="Times New Roman"/>
                <w:b/>
                <w:sz w:val="24"/>
                <w:szCs w:val="24"/>
              </w:rPr>
              <w:t>Portföy Yöneticileri</w:t>
            </w:r>
          </w:p>
        </w:tc>
      </w:tr>
      <w:tr w:rsidR="001B1348" w:rsidRPr="00CD7F05" w14:paraId="1C4CE836" w14:textId="77777777" w:rsidTr="0096176B">
        <w:trPr>
          <w:trHeight w:val="546"/>
        </w:trPr>
        <w:tc>
          <w:tcPr>
            <w:tcW w:w="1823" w:type="dxa"/>
          </w:tcPr>
          <w:p w14:paraId="24B2E994" w14:textId="77777777" w:rsidR="001B1348" w:rsidRPr="00CD7F05" w:rsidRDefault="001B1348" w:rsidP="00A05B08">
            <w:pPr>
              <w:rPr>
                <w:rFonts w:ascii="Times New Roman" w:hAnsi="Times New Roman" w:cs="Times New Roman"/>
                <w:sz w:val="24"/>
                <w:szCs w:val="24"/>
              </w:rPr>
            </w:pPr>
            <w:r w:rsidRPr="00CD7F05">
              <w:rPr>
                <w:rFonts w:ascii="Times New Roman" w:hAnsi="Times New Roman" w:cs="Times New Roman"/>
                <w:sz w:val="24"/>
                <w:szCs w:val="24"/>
              </w:rPr>
              <w:t>Fon Toplam Değeri</w:t>
            </w:r>
          </w:p>
        </w:tc>
        <w:tc>
          <w:tcPr>
            <w:tcW w:w="1716" w:type="dxa"/>
          </w:tcPr>
          <w:p w14:paraId="7EB7923A" w14:textId="19B25CE1" w:rsidR="001B1348" w:rsidRPr="00CD7F05" w:rsidRDefault="00DD3063" w:rsidP="00236423">
            <w:pPr>
              <w:jc w:val="right"/>
              <w:rPr>
                <w:rFonts w:ascii="Times New Roman" w:hAnsi="Times New Roman" w:cs="Times New Roman"/>
                <w:sz w:val="24"/>
                <w:szCs w:val="24"/>
              </w:rPr>
            </w:pPr>
            <w:r w:rsidRPr="00DD3063">
              <w:rPr>
                <w:rFonts w:ascii="Times New Roman" w:hAnsi="Times New Roman" w:cs="Times New Roman"/>
                <w:sz w:val="24"/>
                <w:szCs w:val="24"/>
              </w:rPr>
              <w:t>186.058.441,35</w:t>
            </w:r>
            <w:r w:rsidR="00283E1E" w:rsidRPr="00283E1E">
              <w:rPr>
                <w:rFonts w:ascii="Times New Roman" w:hAnsi="Times New Roman" w:cs="Times New Roman"/>
                <w:sz w:val="24"/>
                <w:szCs w:val="24"/>
              </w:rPr>
              <w:tab/>
            </w:r>
          </w:p>
        </w:tc>
        <w:tc>
          <w:tcPr>
            <w:tcW w:w="5925" w:type="dxa"/>
          </w:tcPr>
          <w:p w14:paraId="74B65ACA" w14:textId="4609D077" w:rsidR="001B1348" w:rsidRPr="00CD7F05" w:rsidRDefault="009722D3"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3E44774B" w:rsidR="00EC15BE" w:rsidRPr="00CD7F05" w:rsidRDefault="009722D3"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CD7F05" w14:paraId="49414BC0" w14:textId="77777777" w:rsidTr="0096176B">
        <w:trPr>
          <w:trHeight w:val="546"/>
        </w:trPr>
        <w:tc>
          <w:tcPr>
            <w:tcW w:w="1823" w:type="dxa"/>
          </w:tcPr>
          <w:p w14:paraId="4D752AFF" w14:textId="77777777" w:rsidR="001B1348" w:rsidRPr="00CD7F05" w:rsidRDefault="001B1348" w:rsidP="00A05B08">
            <w:pPr>
              <w:rPr>
                <w:rFonts w:ascii="Times New Roman" w:hAnsi="Times New Roman" w:cs="Times New Roman"/>
                <w:sz w:val="24"/>
                <w:szCs w:val="24"/>
              </w:rPr>
            </w:pPr>
            <w:r w:rsidRPr="00CD7F05">
              <w:rPr>
                <w:rFonts w:ascii="Times New Roman" w:hAnsi="Times New Roman" w:cs="Times New Roman"/>
                <w:sz w:val="24"/>
                <w:szCs w:val="24"/>
              </w:rPr>
              <w:t>Birim Pay Değeri</w:t>
            </w:r>
          </w:p>
        </w:tc>
        <w:tc>
          <w:tcPr>
            <w:tcW w:w="1716" w:type="dxa"/>
          </w:tcPr>
          <w:p w14:paraId="22FF4823" w14:textId="7D9700A8" w:rsidR="00237C1F" w:rsidRPr="00CD7F05" w:rsidRDefault="00DD3063" w:rsidP="00236423">
            <w:pPr>
              <w:jc w:val="right"/>
              <w:rPr>
                <w:rFonts w:ascii="Times New Roman" w:hAnsi="Times New Roman" w:cs="Times New Roman"/>
                <w:sz w:val="24"/>
                <w:szCs w:val="24"/>
              </w:rPr>
            </w:pPr>
            <w:r w:rsidRPr="00DD3063">
              <w:rPr>
                <w:rFonts w:ascii="Times New Roman" w:hAnsi="Times New Roman" w:cs="Times New Roman"/>
                <w:sz w:val="24"/>
                <w:szCs w:val="24"/>
              </w:rPr>
              <w:t>2,225448</w:t>
            </w:r>
          </w:p>
        </w:tc>
        <w:tc>
          <w:tcPr>
            <w:tcW w:w="5925" w:type="dxa"/>
          </w:tcPr>
          <w:p w14:paraId="367F35D7" w14:textId="77777777" w:rsidR="001B1348" w:rsidRPr="00CD7F05" w:rsidRDefault="003D66F7" w:rsidP="003D66F7">
            <w:pPr>
              <w:jc w:val="center"/>
              <w:rPr>
                <w:rFonts w:ascii="Times New Roman" w:hAnsi="Times New Roman" w:cs="Times New Roman"/>
                <w:b/>
                <w:sz w:val="24"/>
                <w:szCs w:val="24"/>
              </w:rPr>
            </w:pPr>
            <w:r w:rsidRPr="00CD7F05">
              <w:rPr>
                <w:rFonts w:ascii="Times New Roman" w:hAnsi="Times New Roman" w:cs="Times New Roman"/>
                <w:b/>
                <w:sz w:val="24"/>
                <w:szCs w:val="24"/>
              </w:rPr>
              <w:t>Fon’un Yatırım Amacı ve Stratejisi</w:t>
            </w:r>
          </w:p>
        </w:tc>
      </w:tr>
      <w:tr w:rsidR="00E50129" w:rsidRPr="00CD7F05" w14:paraId="41F7A0D8" w14:textId="77777777" w:rsidTr="0096176B">
        <w:trPr>
          <w:trHeight w:val="272"/>
        </w:trPr>
        <w:tc>
          <w:tcPr>
            <w:tcW w:w="1823" w:type="dxa"/>
          </w:tcPr>
          <w:p w14:paraId="6903EC00" w14:textId="77777777" w:rsidR="00E50129" w:rsidRPr="00CD7F05" w:rsidRDefault="00E50129" w:rsidP="00A05B08">
            <w:pPr>
              <w:rPr>
                <w:rFonts w:ascii="Times New Roman" w:hAnsi="Times New Roman" w:cs="Times New Roman"/>
                <w:sz w:val="24"/>
                <w:szCs w:val="24"/>
              </w:rPr>
            </w:pPr>
            <w:r w:rsidRPr="00CD7F05">
              <w:rPr>
                <w:rFonts w:ascii="Times New Roman" w:hAnsi="Times New Roman" w:cs="Times New Roman"/>
                <w:sz w:val="24"/>
                <w:szCs w:val="24"/>
              </w:rPr>
              <w:t>Yatırımcı Sayısı</w:t>
            </w:r>
          </w:p>
        </w:tc>
        <w:tc>
          <w:tcPr>
            <w:tcW w:w="1716" w:type="dxa"/>
          </w:tcPr>
          <w:p w14:paraId="5681A160" w14:textId="26B3E289" w:rsidR="00E50129" w:rsidRPr="00CD7F05" w:rsidRDefault="00AD154C" w:rsidP="003B245E">
            <w:pPr>
              <w:jc w:val="right"/>
              <w:rPr>
                <w:rFonts w:ascii="Times New Roman" w:hAnsi="Times New Roman" w:cs="Times New Roman"/>
                <w:sz w:val="24"/>
                <w:szCs w:val="24"/>
              </w:rPr>
            </w:pPr>
            <w:r>
              <w:rPr>
                <w:rFonts w:ascii="Times New Roman" w:hAnsi="Times New Roman" w:cs="Times New Roman"/>
                <w:sz w:val="24"/>
                <w:szCs w:val="24"/>
              </w:rPr>
              <w:t>698</w:t>
            </w:r>
          </w:p>
        </w:tc>
        <w:tc>
          <w:tcPr>
            <w:tcW w:w="5925" w:type="dxa"/>
            <w:vMerge w:val="restart"/>
          </w:tcPr>
          <w:p w14:paraId="4618D6DC" w14:textId="27539072" w:rsidR="00E50129" w:rsidRPr="00CD7F05" w:rsidRDefault="00906896" w:rsidP="00E50129">
            <w:pPr>
              <w:jc w:val="both"/>
              <w:rPr>
                <w:rFonts w:ascii="Times New Roman" w:hAnsi="Times New Roman" w:cs="Times New Roman"/>
                <w:sz w:val="24"/>
                <w:szCs w:val="24"/>
              </w:rPr>
            </w:pPr>
            <w:r w:rsidRPr="00CD7F05">
              <w:rPr>
                <w:rFonts w:ascii="Times New Roman" w:hAnsi="Times New Roman" w:cs="Times New Roman"/>
              </w:rPr>
              <w:t xml:space="preserve">Fon toplam değerinin en az %80’i devamlı olarak Türk </w:t>
            </w:r>
            <w:proofErr w:type="gramStart"/>
            <w:r w:rsidRPr="00CD7F05">
              <w:rPr>
                <w:rFonts w:ascii="Times New Roman" w:hAnsi="Times New Roman" w:cs="Times New Roman"/>
              </w:rPr>
              <w:t>Lirası</w:t>
            </w:r>
            <w:proofErr w:type="gramEnd"/>
            <w:r w:rsidRPr="00CD7F05">
              <w:rPr>
                <w:rFonts w:ascii="Times New Roman" w:hAnsi="Times New Roman" w:cs="Times New Roman"/>
              </w:rPr>
              <w:t xml:space="preserve"> cinsinden kamu ve/veya özel sektör borçlanma araçlarından oluşur. Fon portföyünün ağırlıklı ortalama vadesi konusunda bir sınırlaması olmayıp, piyasa faiz beklentisi ve makroekonomik göstergeler değerlendirilerek fon portföy dağılımı dinamik olarak belirlenir ve verim eğrisinin uygun görülen vadesinde konuşlandırılır. Fon portföyünde yer alan kamu ve özel sektör borçlanma araçlarının varlık dağılımı ve vade yapısı değiştirilerek fon portföyü aktif şekilde yönetilecektir. Bunlara ek olarak izahnamenin (2.4.) nolu maddesindeki tabloda yer alan para ve sermaye piyasası araçlarına, belirlenen sınırlar çerçevesinde yatırım yapılabilir.</w:t>
            </w:r>
          </w:p>
        </w:tc>
      </w:tr>
      <w:tr w:rsidR="00E50129" w:rsidRPr="00CD7F05" w14:paraId="1F67F208" w14:textId="77777777" w:rsidTr="0096176B">
        <w:trPr>
          <w:trHeight w:val="546"/>
        </w:trPr>
        <w:tc>
          <w:tcPr>
            <w:tcW w:w="1823" w:type="dxa"/>
          </w:tcPr>
          <w:p w14:paraId="53E26006" w14:textId="77777777" w:rsidR="00E50129" w:rsidRPr="00CD7F05" w:rsidRDefault="00E50129" w:rsidP="00A05B08">
            <w:pPr>
              <w:rPr>
                <w:rFonts w:ascii="Times New Roman" w:hAnsi="Times New Roman" w:cs="Times New Roman"/>
                <w:sz w:val="24"/>
                <w:szCs w:val="24"/>
              </w:rPr>
            </w:pPr>
            <w:r w:rsidRPr="00CD7F05">
              <w:rPr>
                <w:rFonts w:ascii="Times New Roman" w:hAnsi="Times New Roman" w:cs="Times New Roman"/>
                <w:sz w:val="24"/>
                <w:szCs w:val="24"/>
              </w:rPr>
              <w:t>Tedavül Oranı (%)</w:t>
            </w:r>
          </w:p>
        </w:tc>
        <w:tc>
          <w:tcPr>
            <w:tcW w:w="1716" w:type="dxa"/>
          </w:tcPr>
          <w:p w14:paraId="2E8AB30D" w14:textId="49C3B63A" w:rsidR="00E50129" w:rsidRPr="00CD7F05" w:rsidRDefault="007E2780" w:rsidP="00236423">
            <w:pPr>
              <w:jc w:val="right"/>
              <w:rPr>
                <w:rFonts w:ascii="Times New Roman" w:hAnsi="Times New Roman" w:cs="Times New Roman"/>
                <w:sz w:val="24"/>
                <w:szCs w:val="24"/>
              </w:rPr>
            </w:pPr>
            <w:r>
              <w:rPr>
                <w:rFonts w:ascii="Times New Roman" w:hAnsi="Times New Roman" w:cs="Times New Roman"/>
                <w:sz w:val="24"/>
                <w:szCs w:val="24"/>
              </w:rPr>
              <w:t>4,18</w:t>
            </w:r>
          </w:p>
        </w:tc>
        <w:tc>
          <w:tcPr>
            <w:tcW w:w="5925" w:type="dxa"/>
            <w:vMerge/>
          </w:tcPr>
          <w:p w14:paraId="1A03D0A4" w14:textId="77777777" w:rsidR="00E50129" w:rsidRPr="00CD7F05" w:rsidRDefault="00E50129" w:rsidP="00E50129">
            <w:pPr>
              <w:jc w:val="both"/>
              <w:rPr>
                <w:rFonts w:ascii="Times New Roman" w:hAnsi="Times New Roman" w:cs="Times New Roman"/>
                <w:sz w:val="24"/>
                <w:szCs w:val="24"/>
              </w:rPr>
            </w:pPr>
          </w:p>
        </w:tc>
      </w:tr>
      <w:tr w:rsidR="00E50129" w:rsidRPr="00CD7F05" w14:paraId="1F1227F2" w14:textId="77777777" w:rsidTr="0096176B">
        <w:trPr>
          <w:trHeight w:val="272"/>
        </w:trPr>
        <w:tc>
          <w:tcPr>
            <w:tcW w:w="3539" w:type="dxa"/>
            <w:gridSpan w:val="2"/>
          </w:tcPr>
          <w:p w14:paraId="71BCD733" w14:textId="77777777" w:rsidR="00E50129" w:rsidRPr="00CD7F05" w:rsidRDefault="00E50129" w:rsidP="003D66F7">
            <w:pPr>
              <w:jc w:val="center"/>
              <w:rPr>
                <w:rFonts w:ascii="Times New Roman" w:hAnsi="Times New Roman" w:cs="Times New Roman"/>
                <w:b/>
                <w:sz w:val="24"/>
                <w:szCs w:val="24"/>
              </w:rPr>
            </w:pPr>
            <w:r w:rsidRPr="00CD7F05">
              <w:rPr>
                <w:rFonts w:ascii="Times New Roman" w:hAnsi="Times New Roman" w:cs="Times New Roman"/>
                <w:b/>
                <w:sz w:val="24"/>
                <w:szCs w:val="24"/>
              </w:rPr>
              <w:t>Portföy Dağılımı (%)</w:t>
            </w:r>
          </w:p>
        </w:tc>
        <w:tc>
          <w:tcPr>
            <w:tcW w:w="5925" w:type="dxa"/>
            <w:vMerge/>
          </w:tcPr>
          <w:p w14:paraId="7498A580" w14:textId="77777777" w:rsidR="00E50129" w:rsidRPr="00CD7F05" w:rsidRDefault="00E50129" w:rsidP="00E50129">
            <w:pPr>
              <w:jc w:val="both"/>
              <w:rPr>
                <w:rFonts w:ascii="Times New Roman" w:hAnsi="Times New Roman" w:cs="Times New Roman"/>
                <w:sz w:val="24"/>
                <w:szCs w:val="24"/>
              </w:rPr>
            </w:pPr>
          </w:p>
        </w:tc>
      </w:tr>
      <w:tr w:rsidR="00F70D62" w:rsidRPr="00CD7F05" w14:paraId="55CA7771" w14:textId="77777777" w:rsidTr="0096176B">
        <w:trPr>
          <w:trHeight w:val="261"/>
        </w:trPr>
        <w:tc>
          <w:tcPr>
            <w:tcW w:w="1823" w:type="dxa"/>
          </w:tcPr>
          <w:p w14:paraId="16933FEA" w14:textId="0EA260DA" w:rsidR="00F70D62" w:rsidRPr="00CD7F05" w:rsidRDefault="00232ADF" w:rsidP="00A05B08">
            <w:pPr>
              <w:rPr>
                <w:rFonts w:ascii="Times New Roman" w:hAnsi="Times New Roman" w:cs="Times New Roman"/>
                <w:sz w:val="24"/>
                <w:szCs w:val="24"/>
              </w:rPr>
            </w:pPr>
            <w:r w:rsidRPr="00CD7F05">
              <w:rPr>
                <w:rFonts w:ascii="Times New Roman" w:hAnsi="Times New Roman" w:cs="Times New Roman"/>
                <w:sz w:val="24"/>
                <w:szCs w:val="24"/>
              </w:rPr>
              <w:t>Borçlanma Araçları</w:t>
            </w:r>
          </w:p>
        </w:tc>
        <w:tc>
          <w:tcPr>
            <w:tcW w:w="1716" w:type="dxa"/>
          </w:tcPr>
          <w:p w14:paraId="2A07B50C" w14:textId="68A00368" w:rsidR="00F70D62" w:rsidRPr="00CD7F05" w:rsidRDefault="00003CA6" w:rsidP="006A0773">
            <w:pPr>
              <w:jc w:val="right"/>
              <w:rPr>
                <w:rFonts w:ascii="Times New Roman" w:hAnsi="Times New Roman" w:cs="Times New Roman"/>
                <w:sz w:val="24"/>
                <w:szCs w:val="24"/>
              </w:rPr>
            </w:pPr>
            <w:r>
              <w:rPr>
                <w:rFonts w:ascii="Times New Roman" w:hAnsi="Times New Roman" w:cs="Times New Roman"/>
                <w:sz w:val="24"/>
                <w:szCs w:val="24"/>
              </w:rPr>
              <w:t>76,96</w:t>
            </w:r>
          </w:p>
        </w:tc>
        <w:tc>
          <w:tcPr>
            <w:tcW w:w="5925" w:type="dxa"/>
            <w:vMerge/>
          </w:tcPr>
          <w:p w14:paraId="04B95A51" w14:textId="77777777" w:rsidR="00F70D62" w:rsidRPr="00CD7F05" w:rsidRDefault="00F70D62" w:rsidP="00A05B08">
            <w:pPr>
              <w:rPr>
                <w:rFonts w:ascii="Times New Roman" w:hAnsi="Times New Roman" w:cs="Times New Roman"/>
                <w:sz w:val="24"/>
                <w:szCs w:val="24"/>
              </w:rPr>
            </w:pPr>
          </w:p>
        </w:tc>
      </w:tr>
      <w:tr w:rsidR="00283E1E" w:rsidRPr="00CD7F05" w14:paraId="26322E24" w14:textId="77777777" w:rsidTr="0096176B">
        <w:trPr>
          <w:trHeight w:val="546"/>
        </w:trPr>
        <w:tc>
          <w:tcPr>
            <w:tcW w:w="1823" w:type="dxa"/>
          </w:tcPr>
          <w:p w14:paraId="01568603" w14:textId="19F6DA57" w:rsidR="00283E1E" w:rsidRDefault="00283E1E" w:rsidP="00A05B08">
            <w:pPr>
              <w:rPr>
                <w:rFonts w:ascii="Times New Roman" w:hAnsi="Times New Roman" w:cs="Times New Roman"/>
                <w:sz w:val="24"/>
                <w:szCs w:val="24"/>
              </w:rPr>
            </w:pPr>
            <w:r>
              <w:rPr>
                <w:rFonts w:ascii="Times New Roman" w:hAnsi="Times New Roman" w:cs="Times New Roman"/>
                <w:sz w:val="24"/>
                <w:szCs w:val="24"/>
              </w:rPr>
              <w:t>Yatırım Fonu</w:t>
            </w:r>
          </w:p>
        </w:tc>
        <w:tc>
          <w:tcPr>
            <w:tcW w:w="1716" w:type="dxa"/>
          </w:tcPr>
          <w:p w14:paraId="6F5FDD8E" w14:textId="024F4B45" w:rsidR="00283E1E" w:rsidRDefault="00003CA6" w:rsidP="00D06446">
            <w:pPr>
              <w:jc w:val="right"/>
              <w:rPr>
                <w:rFonts w:ascii="Times New Roman" w:hAnsi="Times New Roman" w:cs="Times New Roman"/>
                <w:sz w:val="24"/>
                <w:szCs w:val="24"/>
              </w:rPr>
            </w:pPr>
            <w:r>
              <w:rPr>
                <w:rFonts w:ascii="Times New Roman" w:hAnsi="Times New Roman" w:cs="Times New Roman"/>
                <w:sz w:val="24"/>
                <w:szCs w:val="24"/>
              </w:rPr>
              <w:t>17,15</w:t>
            </w:r>
          </w:p>
        </w:tc>
        <w:tc>
          <w:tcPr>
            <w:tcW w:w="5925" w:type="dxa"/>
            <w:vMerge/>
          </w:tcPr>
          <w:p w14:paraId="4BC380D4" w14:textId="77777777" w:rsidR="00283E1E" w:rsidRPr="00CD7F05" w:rsidRDefault="00283E1E" w:rsidP="00A05B08">
            <w:pPr>
              <w:rPr>
                <w:rFonts w:ascii="Times New Roman" w:hAnsi="Times New Roman" w:cs="Times New Roman"/>
                <w:sz w:val="24"/>
                <w:szCs w:val="24"/>
              </w:rPr>
            </w:pPr>
          </w:p>
        </w:tc>
      </w:tr>
      <w:tr w:rsidR="00AB6974" w:rsidRPr="00CD7F05" w14:paraId="4C5FF5DE" w14:textId="77777777" w:rsidTr="0096176B">
        <w:trPr>
          <w:trHeight w:val="546"/>
        </w:trPr>
        <w:tc>
          <w:tcPr>
            <w:tcW w:w="1823" w:type="dxa"/>
          </w:tcPr>
          <w:p w14:paraId="169F8C2A" w14:textId="71C5F54A" w:rsidR="00AB6974" w:rsidRDefault="00AB6974" w:rsidP="00A05B08">
            <w:pPr>
              <w:rPr>
                <w:rFonts w:ascii="Times New Roman" w:hAnsi="Times New Roman" w:cs="Times New Roman"/>
                <w:sz w:val="24"/>
                <w:szCs w:val="24"/>
              </w:rPr>
            </w:pPr>
            <w:r>
              <w:rPr>
                <w:rFonts w:ascii="Times New Roman" w:hAnsi="Times New Roman" w:cs="Times New Roman"/>
                <w:sz w:val="24"/>
                <w:szCs w:val="24"/>
              </w:rPr>
              <w:t>Diğer</w:t>
            </w:r>
          </w:p>
        </w:tc>
        <w:tc>
          <w:tcPr>
            <w:tcW w:w="1716" w:type="dxa"/>
          </w:tcPr>
          <w:p w14:paraId="01D0E620" w14:textId="0D263967" w:rsidR="00AB6974" w:rsidRDefault="00003CA6" w:rsidP="00D06446">
            <w:pPr>
              <w:jc w:val="right"/>
              <w:rPr>
                <w:rFonts w:ascii="Times New Roman" w:hAnsi="Times New Roman" w:cs="Times New Roman"/>
                <w:sz w:val="24"/>
                <w:szCs w:val="24"/>
              </w:rPr>
            </w:pPr>
            <w:r>
              <w:rPr>
                <w:rFonts w:ascii="Times New Roman" w:hAnsi="Times New Roman" w:cs="Times New Roman"/>
                <w:sz w:val="24"/>
                <w:szCs w:val="24"/>
              </w:rPr>
              <w:t>5,88</w:t>
            </w:r>
          </w:p>
        </w:tc>
        <w:tc>
          <w:tcPr>
            <w:tcW w:w="5925" w:type="dxa"/>
            <w:vMerge/>
          </w:tcPr>
          <w:p w14:paraId="46191C50" w14:textId="77777777" w:rsidR="00AB6974" w:rsidRPr="00CD7F05" w:rsidRDefault="00AB6974" w:rsidP="00A05B08">
            <w:pPr>
              <w:rPr>
                <w:rFonts w:ascii="Times New Roman" w:hAnsi="Times New Roman" w:cs="Times New Roman"/>
                <w:sz w:val="24"/>
                <w:szCs w:val="24"/>
              </w:rPr>
            </w:pPr>
          </w:p>
        </w:tc>
      </w:tr>
      <w:tr w:rsidR="00E50129" w:rsidRPr="00CD7F05" w14:paraId="14327E3C" w14:textId="77777777" w:rsidTr="0096176B">
        <w:trPr>
          <w:trHeight w:val="272"/>
        </w:trPr>
        <w:tc>
          <w:tcPr>
            <w:tcW w:w="3539" w:type="dxa"/>
            <w:gridSpan w:val="2"/>
            <w:tcBorders>
              <w:top w:val="single" w:sz="4" w:space="0" w:color="auto"/>
              <w:left w:val="single" w:sz="4" w:space="0" w:color="auto"/>
              <w:bottom w:val="nil"/>
              <w:right w:val="single" w:sz="4" w:space="0" w:color="auto"/>
            </w:tcBorders>
          </w:tcPr>
          <w:p w14:paraId="214E80FB" w14:textId="5B88E540" w:rsidR="00E50129" w:rsidRPr="00CD7F05" w:rsidRDefault="00232ADF" w:rsidP="00A05B08">
            <w:pPr>
              <w:rPr>
                <w:rFonts w:ascii="Times New Roman" w:hAnsi="Times New Roman" w:cs="Times New Roman"/>
                <w:b/>
                <w:sz w:val="24"/>
                <w:szCs w:val="24"/>
              </w:rPr>
            </w:pPr>
            <w:r w:rsidRPr="00CD7F05">
              <w:rPr>
                <w:rFonts w:ascii="Times New Roman" w:hAnsi="Times New Roman" w:cs="Times New Roman"/>
                <w:sz w:val="24"/>
                <w:szCs w:val="24"/>
              </w:rPr>
              <w:t xml:space="preserve">Mevduat                                  </w:t>
            </w:r>
            <w:r w:rsidR="00003CA6">
              <w:rPr>
                <w:rFonts w:ascii="Times New Roman" w:hAnsi="Times New Roman" w:cs="Times New Roman"/>
                <w:sz w:val="24"/>
                <w:szCs w:val="24"/>
              </w:rPr>
              <w:t>0,01</w:t>
            </w:r>
          </w:p>
        </w:tc>
        <w:tc>
          <w:tcPr>
            <w:tcW w:w="5925" w:type="dxa"/>
            <w:vMerge/>
            <w:tcBorders>
              <w:left w:val="single" w:sz="4" w:space="0" w:color="auto"/>
            </w:tcBorders>
          </w:tcPr>
          <w:p w14:paraId="5BB6F06D" w14:textId="77777777" w:rsidR="00E50129" w:rsidRPr="00CD7F05" w:rsidRDefault="00E50129" w:rsidP="00A05B08">
            <w:pPr>
              <w:rPr>
                <w:rFonts w:ascii="Times New Roman" w:hAnsi="Times New Roman" w:cs="Times New Roman"/>
                <w:sz w:val="24"/>
                <w:szCs w:val="24"/>
              </w:rPr>
            </w:pPr>
          </w:p>
        </w:tc>
      </w:tr>
      <w:tr w:rsidR="00E50129" w:rsidRPr="00CD7F05" w14:paraId="2C140DCB" w14:textId="77777777" w:rsidTr="0096176B">
        <w:trPr>
          <w:trHeight w:val="484"/>
        </w:trPr>
        <w:tc>
          <w:tcPr>
            <w:tcW w:w="1823" w:type="dxa"/>
            <w:tcBorders>
              <w:top w:val="nil"/>
              <w:left w:val="single" w:sz="4" w:space="0" w:color="auto"/>
              <w:bottom w:val="single" w:sz="4" w:space="0" w:color="auto"/>
              <w:right w:val="nil"/>
            </w:tcBorders>
          </w:tcPr>
          <w:p w14:paraId="576813CE" w14:textId="6770551B" w:rsidR="0023421B" w:rsidRPr="00CD7F05" w:rsidRDefault="0023421B" w:rsidP="0023421B">
            <w:pPr>
              <w:rPr>
                <w:rFonts w:ascii="Times New Roman" w:hAnsi="Times New Roman" w:cs="Times New Roman"/>
                <w:b/>
                <w:bCs/>
                <w:color w:val="000000"/>
                <w:sz w:val="20"/>
                <w:szCs w:val="20"/>
                <w:u w:val="single"/>
              </w:rPr>
            </w:pPr>
          </w:p>
          <w:p w14:paraId="70218834" w14:textId="1FEED5C2" w:rsidR="00E50129" w:rsidRPr="00CD7F05" w:rsidRDefault="00E50129" w:rsidP="0023421B">
            <w:pPr>
              <w:rPr>
                <w:rFonts w:ascii="Times New Roman" w:hAnsi="Times New Roman" w:cs="Times New Roman"/>
                <w:sz w:val="24"/>
                <w:szCs w:val="24"/>
              </w:rPr>
            </w:pPr>
          </w:p>
        </w:tc>
        <w:tc>
          <w:tcPr>
            <w:tcW w:w="1716" w:type="dxa"/>
            <w:tcBorders>
              <w:top w:val="nil"/>
              <w:left w:val="nil"/>
              <w:bottom w:val="single" w:sz="4" w:space="0" w:color="auto"/>
              <w:right w:val="single" w:sz="4" w:space="0" w:color="auto"/>
            </w:tcBorders>
          </w:tcPr>
          <w:p w14:paraId="51732CE0" w14:textId="77777777" w:rsidR="00E50129" w:rsidRPr="00CD7F05" w:rsidRDefault="00E50129" w:rsidP="00E50129">
            <w:pPr>
              <w:jc w:val="right"/>
              <w:rPr>
                <w:rFonts w:ascii="Times New Roman" w:hAnsi="Times New Roman" w:cs="Times New Roman"/>
                <w:sz w:val="24"/>
                <w:szCs w:val="24"/>
              </w:rPr>
            </w:pPr>
          </w:p>
        </w:tc>
        <w:tc>
          <w:tcPr>
            <w:tcW w:w="5925" w:type="dxa"/>
            <w:vMerge/>
            <w:tcBorders>
              <w:left w:val="single" w:sz="4" w:space="0" w:color="auto"/>
            </w:tcBorders>
          </w:tcPr>
          <w:p w14:paraId="4A8D5C20" w14:textId="77777777" w:rsidR="00E50129" w:rsidRPr="00CD7F05" w:rsidRDefault="00E50129" w:rsidP="00A05B08">
            <w:pPr>
              <w:rPr>
                <w:rFonts w:ascii="Times New Roman" w:hAnsi="Times New Roman" w:cs="Times New Roman"/>
                <w:sz w:val="24"/>
                <w:szCs w:val="24"/>
              </w:rPr>
            </w:pPr>
          </w:p>
        </w:tc>
      </w:tr>
      <w:tr w:rsidR="00D52CC0" w:rsidRPr="00CD7F05" w14:paraId="01C9D9AB" w14:textId="77777777" w:rsidTr="0096176B">
        <w:trPr>
          <w:trHeight w:val="272"/>
        </w:trPr>
        <w:tc>
          <w:tcPr>
            <w:tcW w:w="9464" w:type="dxa"/>
            <w:gridSpan w:val="3"/>
          </w:tcPr>
          <w:p w14:paraId="1861FA3E" w14:textId="1CC6D1C6" w:rsidR="00D52CC0" w:rsidRPr="00CD7F05" w:rsidRDefault="00D52CC0" w:rsidP="00D52CC0">
            <w:pPr>
              <w:jc w:val="center"/>
              <w:rPr>
                <w:rFonts w:ascii="Times New Roman" w:hAnsi="Times New Roman" w:cs="Times New Roman"/>
                <w:sz w:val="24"/>
                <w:szCs w:val="24"/>
              </w:rPr>
            </w:pPr>
            <w:r w:rsidRPr="00CD7F05">
              <w:rPr>
                <w:rFonts w:ascii="Times New Roman" w:hAnsi="Times New Roman" w:cs="Times New Roman"/>
                <w:sz w:val="24"/>
                <w:szCs w:val="24"/>
              </w:rPr>
              <w:t xml:space="preserve">En Az Alınabilir Pay </w:t>
            </w:r>
            <w:r w:rsidR="00A17399" w:rsidRPr="00CD7F05">
              <w:rPr>
                <w:rFonts w:ascii="Times New Roman" w:hAnsi="Times New Roman" w:cs="Times New Roman"/>
                <w:sz w:val="24"/>
                <w:szCs w:val="24"/>
              </w:rPr>
              <w:t>Adedi:</w:t>
            </w:r>
            <w:r w:rsidRPr="00CD7F05">
              <w:rPr>
                <w:rFonts w:ascii="Times New Roman" w:hAnsi="Times New Roman" w:cs="Times New Roman"/>
                <w:sz w:val="24"/>
                <w:szCs w:val="24"/>
              </w:rPr>
              <w:t xml:space="preserve"> 1 Adet</w:t>
            </w:r>
          </w:p>
        </w:tc>
      </w:tr>
    </w:tbl>
    <w:p w14:paraId="37B030FD" w14:textId="77777777" w:rsidR="00621CF3" w:rsidRPr="00CD7F05" w:rsidRDefault="00621CF3" w:rsidP="00A05B08">
      <w:pPr>
        <w:spacing w:after="0"/>
        <w:rPr>
          <w:rFonts w:ascii="Times New Roman" w:hAnsi="Times New Roman" w:cs="Times New Roman"/>
          <w:sz w:val="24"/>
          <w:szCs w:val="24"/>
        </w:rPr>
      </w:pPr>
    </w:p>
    <w:p w14:paraId="7D5438C5" w14:textId="77777777" w:rsidR="00621CF3" w:rsidRPr="00CD7F05" w:rsidRDefault="00621CF3" w:rsidP="00CE6762">
      <w:pPr>
        <w:spacing w:after="0"/>
        <w:rPr>
          <w:rFonts w:ascii="Times New Roman" w:hAnsi="Times New Roman" w:cs="Times New Roman"/>
          <w:sz w:val="24"/>
          <w:szCs w:val="24"/>
        </w:rPr>
      </w:pPr>
    </w:p>
    <w:p w14:paraId="2312CCC3" w14:textId="77777777" w:rsidR="00106889" w:rsidRPr="00CD7F05" w:rsidRDefault="00106889" w:rsidP="00621CF3">
      <w:pPr>
        <w:spacing w:after="0"/>
        <w:jc w:val="center"/>
        <w:rPr>
          <w:rFonts w:ascii="Times New Roman" w:hAnsi="Times New Roman" w:cs="Times New Roman"/>
          <w:sz w:val="24"/>
          <w:szCs w:val="24"/>
        </w:rPr>
      </w:pPr>
    </w:p>
    <w:p w14:paraId="23461D99" w14:textId="77777777" w:rsidR="00973E09" w:rsidRPr="00CD7F05" w:rsidRDefault="00973E09" w:rsidP="00973E09">
      <w:pPr>
        <w:pStyle w:val="ListeParagraf"/>
        <w:numPr>
          <w:ilvl w:val="0"/>
          <w:numId w:val="1"/>
        </w:numPr>
        <w:rPr>
          <w:rFonts w:ascii="Times New Roman" w:hAnsi="Times New Roman" w:cs="Times New Roman"/>
          <w:b/>
          <w:sz w:val="24"/>
          <w:szCs w:val="24"/>
        </w:rPr>
      </w:pPr>
      <w:r w:rsidRPr="00CD7F05">
        <w:rPr>
          <w:rFonts w:ascii="Times New Roman" w:hAnsi="Times New Roman" w:cs="Times New Roman"/>
          <w:b/>
          <w:sz w:val="24"/>
          <w:szCs w:val="24"/>
        </w:rPr>
        <w:t>PERFORMANS BİLGİSİ</w:t>
      </w:r>
    </w:p>
    <w:tbl>
      <w:tblPr>
        <w:tblW w:w="8908" w:type="dxa"/>
        <w:tblInd w:w="75" w:type="dxa"/>
        <w:tblCellMar>
          <w:left w:w="70" w:type="dxa"/>
          <w:right w:w="70" w:type="dxa"/>
        </w:tblCellMar>
        <w:tblLook w:val="04A0" w:firstRow="1" w:lastRow="0" w:firstColumn="1" w:lastColumn="0" w:noHBand="0" w:noVBand="1"/>
      </w:tblPr>
      <w:tblGrid>
        <w:gridCol w:w="807"/>
        <w:gridCol w:w="741"/>
        <w:gridCol w:w="1470"/>
        <w:gridCol w:w="911"/>
        <w:gridCol w:w="1426"/>
        <w:gridCol w:w="1221"/>
        <w:gridCol w:w="950"/>
        <w:gridCol w:w="1382"/>
      </w:tblGrid>
      <w:tr w:rsidR="00CA0938" w:rsidRPr="00CA0938" w14:paraId="7DEB5E6F" w14:textId="77777777" w:rsidTr="00CA0938">
        <w:trPr>
          <w:trHeight w:val="1132"/>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F55CC" w14:textId="77777777" w:rsidR="00CA0938" w:rsidRPr="00CA0938" w:rsidRDefault="00CA0938" w:rsidP="00CA0938">
            <w:pPr>
              <w:spacing w:after="0" w:line="240" w:lineRule="auto"/>
              <w:jc w:val="center"/>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Yıllar</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09EB4F33" w14:textId="77777777" w:rsidR="00CA0938" w:rsidRPr="00CA0938" w:rsidRDefault="00CA0938" w:rsidP="00CA0938">
            <w:pPr>
              <w:spacing w:after="0" w:line="240" w:lineRule="auto"/>
              <w:jc w:val="center"/>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Toplam Getiri (%)</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234A1412" w14:textId="77777777" w:rsidR="00CA0938" w:rsidRPr="00CA0938" w:rsidRDefault="00CA0938" w:rsidP="00CA0938">
            <w:pPr>
              <w:spacing w:after="0" w:line="240" w:lineRule="auto"/>
              <w:jc w:val="center"/>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Karşılaştırma Ölçütünün Getirisi/Eşik Değer (%)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6BF0C762" w14:textId="77777777" w:rsidR="00CA0938" w:rsidRPr="00CA0938" w:rsidRDefault="00CA0938" w:rsidP="00CA0938">
            <w:pPr>
              <w:spacing w:after="0" w:line="240" w:lineRule="auto"/>
              <w:jc w:val="center"/>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Üfe Enflasyon Oranı (%) (**)</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0F1DFA6F" w14:textId="77777777" w:rsidR="00CA0938" w:rsidRPr="00CA0938" w:rsidRDefault="00CA0938" w:rsidP="00CA0938">
            <w:pPr>
              <w:spacing w:after="0" w:line="240" w:lineRule="auto"/>
              <w:jc w:val="center"/>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Portföyün Zaman İçinde Standart Sapması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C1D234F" w14:textId="77777777" w:rsidR="00CA0938" w:rsidRPr="00CA0938" w:rsidRDefault="00CA0938" w:rsidP="00CA0938">
            <w:pPr>
              <w:spacing w:after="0" w:line="240" w:lineRule="auto"/>
              <w:jc w:val="center"/>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Karşılaştırma Ölçütünün Standart Sapması (%)</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54E03CE7" w14:textId="77777777" w:rsidR="00CA0938" w:rsidRPr="00CA0938" w:rsidRDefault="00CA0938" w:rsidP="00CA0938">
            <w:pPr>
              <w:spacing w:after="0" w:line="240" w:lineRule="auto"/>
              <w:jc w:val="center"/>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Bilgi Rasyosu</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14:paraId="398D5464" w14:textId="77777777" w:rsidR="00CA0938" w:rsidRPr="00CA0938" w:rsidRDefault="00CA0938" w:rsidP="00CA0938">
            <w:pPr>
              <w:spacing w:after="0" w:line="240" w:lineRule="auto"/>
              <w:jc w:val="center"/>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Sunuma Dahil Dönem Sonu Portföyün Toplam Değeri</w:t>
            </w:r>
          </w:p>
        </w:tc>
      </w:tr>
      <w:tr w:rsidR="00CA0938" w:rsidRPr="00CA0938" w14:paraId="41AC17B2" w14:textId="77777777" w:rsidTr="00CA0938">
        <w:trPr>
          <w:trHeight w:val="279"/>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4992CDEC" w14:textId="77777777" w:rsidR="00CA0938" w:rsidRPr="00CA0938" w:rsidRDefault="00CA0938" w:rsidP="00CA0938">
            <w:pPr>
              <w:spacing w:after="0" w:line="240" w:lineRule="auto"/>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2022</w:t>
            </w:r>
          </w:p>
        </w:tc>
        <w:tc>
          <w:tcPr>
            <w:tcW w:w="696" w:type="dxa"/>
            <w:tcBorders>
              <w:top w:val="nil"/>
              <w:left w:val="nil"/>
              <w:bottom w:val="single" w:sz="4" w:space="0" w:color="auto"/>
              <w:right w:val="single" w:sz="4" w:space="0" w:color="auto"/>
            </w:tcBorders>
            <w:shd w:val="clear" w:color="auto" w:fill="auto"/>
            <w:noWrap/>
            <w:vAlign w:val="center"/>
            <w:hideMark/>
          </w:tcPr>
          <w:p w14:paraId="1FF2AB7B"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26,34</w:t>
            </w:r>
          </w:p>
        </w:tc>
        <w:tc>
          <w:tcPr>
            <w:tcW w:w="1470" w:type="dxa"/>
            <w:tcBorders>
              <w:top w:val="nil"/>
              <w:left w:val="nil"/>
              <w:bottom w:val="single" w:sz="4" w:space="0" w:color="auto"/>
              <w:right w:val="single" w:sz="4" w:space="0" w:color="auto"/>
            </w:tcBorders>
            <w:shd w:val="clear" w:color="auto" w:fill="auto"/>
            <w:noWrap/>
            <w:vAlign w:val="center"/>
            <w:hideMark/>
          </w:tcPr>
          <w:p w14:paraId="3BA951DE"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 xml:space="preserve">                                               24,60 </w:t>
            </w:r>
          </w:p>
        </w:tc>
        <w:tc>
          <w:tcPr>
            <w:tcW w:w="906" w:type="dxa"/>
            <w:tcBorders>
              <w:top w:val="nil"/>
              <w:left w:val="nil"/>
              <w:bottom w:val="single" w:sz="4" w:space="0" w:color="auto"/>
              <w:right w:val="single" w:sz="4" w:space="0" w:color="auto"/>
            </w:tcBorders>
            <w:shd w:val="clear" w:color="auto" w:fill="auto"/>
            <w:noWrap/>
            <w:vAlign w:val="center"/>
            <w:hideMark/>
          </w:tcPr>
          <w:p w14:paraId="69B696B9"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79,02</w:t>
            </w:r>
          </w:p>
        </w:tc>
        <w:tc>
          <w:tcPr>
            <w:tcW w:w="1426" w:type="dxa"/>
            <w:tcBorders>
              <w:top w:val="nil"/>
              <w:left w:val="nil"/>
              <w:bottom w:val="single" w:sz="4" w:space="0" w:color="auto"/>
              <w:right w:val="single" w:sz="4" w:space="0" w:color="auto"/>
            </w:tcBorders>
            <w:shd w:val="clear" w:color="auto" w:fill="auto"/>
            <w:noWrap/>
            <w:vAlign w:val="center"/>
            <w:hideMark/>
          </w:tcPr>
          <w:p w14:paraId="1CC138B0"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0,06</w:t>
            </w:r>
          </w:p>
        </w:tc>
        <w:tc>
          <w:tcPr>
            <w:tcW w:w="1271" w:type="dxa"/>
            <w:tcBorders>
              <w:top w:val="nil"/>
              <w:left w:val="nil"/>
              <w:bottom w:val="single" w:sz="4" w:space="0" w:color="auto"/>
              <w:right w:val="single" w:sz="4" w:space="0" w:color="auto"/>
            </w:tcBorders>
            <w:shd w:val="clear" w:color="auto" w:fill="auto"/>
            <w:vAlign w:val="center"/>
            <w:hideMark/>
          </w:tcPr>
          <w:p w14:paraId="3BA8669E"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0,14</w:t>
            </w:r>
          </w:p>
        </w:tc>
        <w:tc>
          <w:tcPr>
            <w:tcW w:w="950" w:type="dxa"/>
            <w:tcBorders>
              <w:top w:val="nil"/>
              <w:left w:val="nil"/>
              <w:bottom w:val="single" w:sz="4" w:space="0" w:color="auto"/>
              <w:right w:val="single" w:sz="4" w:space="0" w:color="auto"/>
            </w:tcBorders>
            <w:shd w:val="clear" w:color="auto" w:fill="auto"/>
            <w:noWrap/>
            <w:vAlign w:val="center"/>
            <w:hideMark/>
          </w:tcPr>
          <w:p w14:paraId="46759B75"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1,37</w:t>
            </w:r>
          </w:p>
        </w:tc>
        <w:tc>
          <w:tcPr>
            <w:tcW w:w="1382" w:type="dxa"/>
            <w:tcBorders>
              <w:top w:val="nil"/>
              <w:left w:val="nil"/>
              <w:bottom w:val="single" w:sz="4" w:space="0" w:color="auto"/>
              <w:right w:val="single" w:sz="4" w:space="0" w:color="auto"/>
            </w:tcBorders>
            <w:shd w:val="clear" w:color="auto" w:fill="auto"/>
            <w:noWrap/>
            <w:vAlign w:val="center"/>
            <w:hideMark/>
          </w:tcPr>
          <w:p w14:paraId="28D9AC1A" w14:textId="3911893C"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 xml:space="preserve"> </w:t>
            </w:r>
            <w:commentRangeStart w:id="0"/>
            <w:commentRangeStart w:id="1"/>
            <w:r w:rsidRPr="00CA0938">
              <w:rPr>
                <w:rFonts w:ascii="Times New Roman" w:eastAsia="Times New Roman" w:hAnsi="Times New Roman" w:cs="Times New Roman"/>
                <w:b/>
                <w:bCs/>
                <w:color w:val="000000"/>
                <w:sz w:val="18"/>
                <w:szCs w:val="18"/>
                <w:lang w:eastAsia="tr-TR"/>
              </w:rPr>
              <w:t>411.53</w:t>
            </w:r>
            <w:r w:rsidR="00AD154C">
              <w:rPr>
                <w:rFonts w:ascii="Times New Roman" w:eastAsia="Times New Roman" w:hAnsi="Times New Roman" w:cs="Times New Roman"/>
                <w:b/>
                <w:bCs/>
                <w:color w:val="000000"/>
                <w:sz w:val="18"/>
                <w:szCs w:val="18"/>
                <w:lang w:eastAsia="tr-TR"/>
              </w:rPr>
              <w:t>7</w:t>
            </w:r>
            <w:r w:rsidRPr="00CA0938">
              <w:rPr>
                <w:rFonts w:ascii="Times New Roman" w:eastAsia="Times New Roman" w:hAnsi="Times New Roman" w:cs="Times New Roman"/>
                <w:b/>
                <w:bCs/>
                <w:color w:val="000000"/>
                <w:sz w:val="18"/>
                <w:szCs w:val="18"/>
                <w:lang w:eastAsia="tr-TR"/>
              </w:rPr>
              <w:t xml:space="preserve">.673.55 </w:t>
            </w:r>
            <w:commentRangeEnd w:id="0"/>
            <w:r w:rsidR="00044689">
              <w:rPr>
                <w:rStyle w:val="AklamaBavurusu"/>
              </w:rPr>
              <w:commentReference w:id="0"/>
            </w:r>
            <w:commentRangeEnd w:id="1"/>
            <w:r w:rsidR="00AD154C">
              <w:rPr>
                <w:rStyle w:val="AklamaBavurusu"/>
              </w:rPr>
              <w:commentReference w:id="1"/>
            </w:r>
          </w:p>
        </w:tc>
      </w:tr>
      <w:tr w:rsidR="00CA0938" w:rsidRPr="00CA0938" w14:paraId="101B75C8" w14:textId="77777777" w:rsidTr="00CA0938">
        <w:trPr>
          <w:trHeight w:val="279"/>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0215CEA0" w14:textId="77777777" w:rsidR="00CA0938" w:rsidRPr="00CA0938" w:rsidRDefault="00CA0938" w:rsidP="00CA0938">
            <w:pPr>
              <w:spacing w:after="0" w:line="240" w:lineRule="auto"/>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2023</w:t>
            </w:r>
          </w:p>
        </w:tc>
        <w:tc>
          <w:tcPr>
            <w:tcW w:w="696" w:type="dxa"/>
            <w:tcBorders>
              <w:top w:val="nil"/>
              <w:left w:val="nil"/>
              <w:bottom w:val="single" w:sz="4" w:space="0" w:color="auto"/>
              <w:right w:val="single" w:sz="4" w:space="0" w:color="auto"/>
            </w:tcBorders>
            <w:shd w:val="clear" w:color="auto" w:fill="auto"/>
            <w:noWrap/>
            <w:vAlign w:val="center"/>
            <w:hideMark/>
          </w:tcPr>
          <w:p w14:paraId="19A48421"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39,97</w:t>
            </w:r>
          </w:p>
        </w:tc>
        <w:tc>
          <w:tcPr>
            <w:tcW w:w="1470" w:type="dxa"/>
            <w:tcBorders>
              <w:top w:val="nil"/>
              <w:left w:val="nil"/>
              <w:bottom w:val="single" w:sz="4" w:space="0" w:color="auto"/>
              <w:right w:val="single" w:sz="4" w:space="0" w:color="auto"/>
            </w:tcBorders>
            <w:shd w:val="clear" w:color="auto" w:fill="auto"/>
            <w:noWrap/>
            <w:vAlign w:val="center"/>
            <w:hideMark/>
          </w:tcPr>
          <w:p w14:paraId="576D9BB7"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 xml:space="preserve">                                               </w:t>
            </w:r>
            <w:commentRangeStart w:id="2"/>
            <w:commentRangeStart w:id="3"/>
            <w:r w:rsidRPr="00CA0938">
              <w:rPr>
                <w:rFonts w:ascii="Times New Roman" w:eastAsia="Times New Roman" w:hAnsi="Times New Roman" w:cs="Times New Roman"/>
                <w:b/>
                <w:bCs/>
                <w:color w:val="000000"/>
                <w:sz w:val="18"/>
                <w:szCs w:val="18"/>
                <w:lang w:eastAsia="tr-TR"/>
              </w:rPr>
              <w:t>21,10</w:t>
            </w:r>
            <w:commentRangeEnd w:id="2"/>
            <w:r w:rsidR="00044689">
              <w:rPr>
                <w:rStyle w:val="AklamaBavurusu"/>
              </w:rPr>
              <w:commentReference w:id="2"/>
            </w:r>
            <w:commentRangeEnd w:id="3"/>
            <w:r w:rsidR="00AD154C">
              <w:rPr>
                <w:rStyle w:val="AklamaBavurusu"/>
              </w:rPr>
              <w:commentReference w:id="3"/>
            </w:r>
            <w:r w:rsidRPr="00CA0938">
              <w:rPr>
                <w:rFonts w:ascii="Times New Roman" w:eastAsia="Times New Roman" w:hAnsi="Times New Roman" w:cs="Times New Roman"/>
                <w:b/>
                <w:bCs/>
                <w:color w:val="000000"/>
                <w:sz w:val="18"/>
                <w:szCs w:val="18"/>
                <w:lang w:eastAsia="tr-TR"/>
              </w:rPr>
              <w:t xml:space="preserve"> </w:t>
            </w:r>
          </w:p>
        </w:tc>
        <w:tc>
          <w:tcPr>
            <w:tcW w:w="906" w:type="dxa"/>
            <w:tcBorders>
              <w:top w:val="nil"/>
              <w:left w:val="nil"/>
              <w:bottom w:val="single" w:sz="4" w:space="0" w:color="auto"/>
              <w:right w:val="single" w:sz="4" w:space="0" w:color="auto"/>
            </w:tcBorders>
            <w:shd w:val="clear" w:color="auto" w:fill="auto"/>
            <w:noWrap/>
            <w:vAlign w:val="center"/>
            <w:hideMark/>
          </w:tcPr>
          <w:p w14:paraId="22FB8F07"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44,22</w:t>
            </w:r>
          </w:p>
        </w:tc>
        <w:tc>
          <w:tcPr>
            <w:tcW w:w="1426" w:type="dxa"/>
            <w:tcBorders>
              <w:top w:val="nil"/>
              <w:left w:val="nil"/>
              <w:bottom w:val="single" w:sz="4" w:space="0" w:color="auto"/>
              <w:right w:val="single" w:sz="4" w:space="0" w:color="auto"/>
            </w:tcBorders>
            <w:shd w:val="clear" w:color="auto" w:fill="auto"/>
            <w:noWrap/>
            <w:vAlign w:val="center"/>
            <w:hideMark/>
          </w:tcPr>
          <w:p w14:paraId="27AAC753"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0,08</w:t>
            </w:r>
          </w:p>
        </w:tc>
        <w:tc>
          <w:tcPr>
            <w:tcW w:w="1271" w:type="dxa"/>
            <w:tcBorders>
              <w:top w:val="nil"/>
              <w:left w:val="nil"/>
              <w:bottom w:val="single" w:sz="4" w:space="0" w:color="auto"/>
              <w:right w:val="single" w:sz="4" w:space="0" w:color="auto"/>
            </w:tcBorders>
            <w:shd w:val="clear" w:color="auto" w:fill="auto"/>
            <w:vAlign w:val="center"/>
            <w:hideMark/>
          </w:tcPr>
          <w:p w14:paraId="5DAD9570"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0,31</w:t>
            </w:r>
          </w:p>
        </w:tc>
        <w:tc>
          <w:tcPr>
            <w:tcW w:w="950" w:type="dxa"/>
            <w:tcBorders>
              <w:top w:val="nil"/>
              <w:left w:val="nil"/>
              <w:bottom w:val="single" w:sz="4" w:space="0" w:color="auto"/>
              <w:right w:val="single" w:sz="4" w:space="0" w:color="auto"/>
            </w:tcBorders>
            <w:shd w:val="clear" w:color="auto" w:fill="auto"/>
            <w:noWrap/>
            <w:vAlign w:val="center"/>
            <w:hideMark/>
          </w:tcPr>
          <w:p w14:paraId="674AE52B"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25,95</w:t>
            </w:r>
          </w:p>
        </w:tc>
        <w:tc>
          <w:tcPr>
            <w:tcW w:w="1382" w:type="dxa"/>
            <w:tcBorders>
              <w:top w:val="nil"/>
              <w:left w:val="nil"/>
              <w:bottom w:val="single" w:sz="4" w:space="0" w:color="auto"/>
              <w:right w:val="single" w:sz="4" w:space="0" w:color="auto"/>
            </w:tcBorders>
            <w:shd w:val="clear" w:color="auto" w:fill="auto"/>
            <w:noWrap/>
            <w:vAlign w:val="center"/>
            <w:hideMark/>
          </w:tcPr>
          <w:p w14:paraId="3F4689A6"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 xml:space="preserve">                            213.519.228,35 </w:t>
            </w:r>
          </w:p>
        </w:tc>
      </w:tr>
      <w:tr w:rsidR="00CA0938" w:rsidRPr="00CA0938" w14:paraId="6C0D8A51" w14:textId="77777777" w:rsidTr="00CA0938">
        <w:trPr>
          <w:trHeight w:val="279"/>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08823048" w14:textId="6B132E01" w:rsidR="00CA0938" w:rsidRPr="00CA0938" w:rsidRDefault="00CA0938" w:rsidP="00CA0938">
            <w:pPr>
              <w:spacing w:after="0" w:line="240" w:lineRule="auto"/>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696" w:type="dxa"/>
            <w:tcBorders>
              <w:top w:val="nil"/>
              <w:left w:val="nil"/>
              <w:bottom w:val="single" w:sz="4" w:space="0" w:color="auto"/>
              <w:right w:val="single" w:sz="4" w:space="0" w:color="auto"/>
            </w:tcBorders>
            <w:shd w:val="clear" w:color="auto" w:fill="auto"/>
            <w:noWrap/>
            <w:vAlign w:val="center"/>
            <w:hideMark/>
          </w:tcPr>
          <w:p w14:paraId="0582FD98"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25,72</w:t>
            </w:r>
          </w:p>
        </w:tc>
        <w:tc>
          <w:tcPr>
            <w:tcW w:w="1470" w:type="dxa"/>
            <w:tcBorders>
              <w:top w:val="nil"/>
              <w:left w:val="nil"/>
              <w:bottom w:val="single" w:sz="4" w:space="0" w:color="auto"/>
              <w:right w:val="single" w:sz="4" w:space="0" w:color="auto"/>
            </w:tcBorders>
            <w:shd w:val="clear" w:color="auto" w:fill="auto"/>
            <w:noWrap/>
            <w:vAlign w:val="center"/>
            <w:hideMark/>
          </w:tcPr>
          <w:p w14:paraId="0D4775FB"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 xml:space="preserve">                                               19,99 </w:t>
            </w:r>
          </w:p>
        </w:tc>
        <w:tc>
          <w:tcPr>
            <w:tcW w:w="906" w:type="dxa"/>
            <w:tcBorders>
              <w:top w:val="nil"/>
              <w:left w:val="nil"/>
              <w:bottom w:val="single" w:sz="4" w:space="0" w:color="auto"/>
              <w:right w:val="single" w:sz="4" w:space="0" w:color="auto"/>
            </w:tcBorders>
            <w:shd w:val="clear" w:color="auto" w:fill="auto"/>
            <w:noWrap/>
            <w:vAlign w:val="center"/>
            <w:hideMark/>
          </w:tcPr>
          <w:p w14:paraId="0985D5C9"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19,49</w:t>
            </w:r>
          </w:p>
        </w:tc>
        <w:tc>
          <w:tcPr>
            <w:tcW w:w="1426" w:type="dxa"/>
            <w:tcBorders>
              <w:top w:val="nil"/>
              <w:left w:val="nil"/>
              <w:bottom w:val="single" w:sz="4" w:space="0" w:color="auto"/>
              <w:right w:val="single" w:sz="4" w:space="0" w:color="auto"/>
            </w:tcBorders>
            <w:shd w:val="clear" w:color="auto" w:fill="auto"/>
            <w:noWrap/>
            <w:vAlign w:val="center"/>
            <w:hideMark/>
          </w:tcPr>
          <w:p w14:paraId="6E672AF3"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0,12</w:t>
            </w:r>
          </w:p>
        </w:tc>
        <w:tc>
          <w:tcPr>
            <w:tcW w:w="1271" w:type="dxa"/>
            <w:tcBorders>
              <w:top w:val="nil"/>
              <w:left w:val="nil"/>
              <w:bottom w:val="single" w:sz="4" w:space="0" w:color="auto"/>
              <w:right w:val="single" w:sz="4" w:space="0" w:color="auto"/>
            </w:tcBorders>
            <w:shd w:val="clear" w:color="auto" w:fill="auto"/>
            <w:vAlign w:val="center"/>
            <w:hideMark/>
          </w:tcPr>
          <w:p w14:paraId="06E7AF8E"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0,21</w:t>
            </w:r>
          </w:p>
        </w:tc>
        <w:tc>
          <w:tcPr>
            <w:tcW w:w="950" w:type="dxa"/>
            <w:tcBorders>
              <w:top w:val="nil"/>
              <w:left w:val="nil"/>
              <w:bottom w:val="single" w:sz="4" w:space="0" w:color="auto"/>
              <w:right w:val="single" w:sz="4" w:space="0" w:color="auto"/>
            </w:tcBorders>
            <w:shd w:val="clear" w:color="auto" w:fill="auto"/>
            <w:noWrap/>
            <w:vAlign w:val="center"/>
            <w:hideMark/>
          </w:tcPr>
          <w:p w14:paraId="0146970F"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4,61</w:t>
            </w:r>
          </w:p>
        </w:tc>
        <w:tc>
          <w:tcPr>
            <w:tcW w:w="1382" w:type="dxa"/>
            <w:tcBorders>
              <w:top w:val="nil"/>
              <w:left w:val="nil"/>
              <w:bottom w:val="single" w:sz="4" w:space="0" w:color="auto"/>
              <w:right w:val="single" w:sz="4" w:space="0" w:color="auto"/>
            </w:tcBorders>
            <w:shd w:val="clear" w:color="auto" w:fill="auto"/>
            <w:noWrap/>
            <w:vAlign w:val="center"/>
            <w:hideMark/>
          </w:tcPr>
          <w:p w14:paraId="0C1DBDF8" w14:textId="77777777" w:rsidR="00CA0938" w:rsidRPr="00CA0938" w:rsidRDefault="00CA0938" w:rsidP="00CA0938">
            <w:pPr>
              <w:spacing w:after="0" w:line="240" w:lineRule="auto"/>
              <w:jc w:val="right"/>
              <w:rPr>
                <w:rFonts w:ascii="Times New Roman" w:eastAsia="Times New Roman" w:hAnsi="Times New Roman" w:cs="Times New Roman"/>
                <w:b/>
                <w:bCs/>
                <w:color w:val="000000"/>
                <w:sz w:val="18"/>
                <w:szCs w:val="18"/>
                <w:lang w:eastAsia="tr-TR"/>
              </w:rPr>
            </w:pPr>
            <w:r w:rsidRPr="00CA0938">
              <w:rPr>
                <w:rFonts w:ascii="Times New Roman" w:eastAsia="Times New Roman" w:hAnsi="Times New Roman" w:cs="Times New Roman"/>
                <w:b/>
                <w:bCs/>
                <w:color w:val="000000"/>
                <w:sz w:val="18"/>
                <w:szCs w:val="18"/>
                <w:lang w:eastAsia="tr-TR"/>
              </w:rPr>
              <w:t xml:space="preserve">                            186.058.441,35 </w:t>
            </w:r>
          </w:p>
        </w:tc>
      </w:tr>
    </w:tbl>
    <w:p w14:paraId="7A161A44" w14:textId="77777777" w:rsidR="00106889" w:rsidRPr="00CD7F05" w:rsidRDefault="00106889" w:rsidP="00032E31">
      <w:pPr>
        <w:spacing w:after="0"/>
        <w:jc w:val="both"/>
        <w:rPr>
          <w:rFonts w:ascii="Times New Roman" w:hAnsi="Times New Roman" w:cs="Times New Roman"/>
          <w:sz w:val="24"/>
          <w:szCs w:val="24"/>
        </w:rPr>
      </w:pPr>
    </w:p>
    <w:p w14:paraId="3CFA9904" w14:textId="328F1D15" w:rsidR="00621CF3" w:rsidRDefault="00030329" w:rsidP="00032E31">
      <w:pPr>
        <w:spacing w:after="0"/>
        <w:jc w:val="both"/>
        <w:rPr>
          <w:rFonts w:ascii="Times New Roman" w:hAnsi="Times New Roman" w:cs="Times New Roman"/>
          <w:sz w:val="24"/>
          <w:szCs w:val="24"/>
        </w:rPr>
      </w:pPr>
      <w:r w:rsidRPr="00CD7F05">
        <w:rPr>
          <w:rFonts w:ascii="Times New Roman" w:hAnsi="Times New Roman" w:cs="Times New Roman"/>
          <w:sz w:val="24"/>
          <w:szCs w:val="24"/>
        </w:rPr>
        <w:t>(*)</w:t>
      </w:r>
      <w:r w:rsidRPr="00CD7F05">
        <w:rPr>
          <w:rFonts w:ascii="Times New Roman" w:hAnsi="Times New Roman" w:cs="Times New Roman"/>
          <w:sz w:val="24"/>
          <w:szCs w:val="24"/>
        </w:rPr>
        <w:tab/>
      </w:r>
      <w:r w:rsidR="005C70A1" w:rsidRPr="00CD7F05">
        <w:rPr>
          <w:rFonts w:ascii="Times New Roman" w:hAnsi="Times New Roman" w:cs="Times New Roman"/>
          <w:sz w:val="24"/>
          <w:szCs w:val="24"/>
        </w:rPr>
        <w:t>Eşik Değer</w:t>
      </w:r>
      <w:r w:rsidRPr="00CD7F05">
        <w:rPr>
          <w:rFonts w:ascii="Times New Roman" w:hAnsi="Times New Roman" w:cs="Times New Roman"/>
          <w:sz w:val="24"/>
          <w:szCs w:val="24"/>
        </w:rPr>
        <w:t xml:space="preserve">: </w:t>
      </w:r>
      <w:r w:rsidR="0096176B" w:rsidRPr="00CD7F05">
        <w:rPr>
          <w:rFonts w:ascii="Times New Roman" w:hAnsi="Times New Roman" w:cs="Times New Roman"/>
          <w:sz w:val="24"/>
          <w:szCs w:val="24"/>
        </w:rPr>
        <w:t>%40 BİST-KYD DİBS 182 Gün Endeksi + %20 BİST- KYD ÖSBA Sabit Endeksi + %20 BİST-KYD ÖSBA Değişken Endeksi+ %20 BİST-KYD 1 Aylık TL Mevduat Endeksi’dir</w:t>
      </w:r>
    </w:p>
    <w:p w14:paraId="17937A4A" w14:textId="408908D7" w:rsidR="00597CD9" w:rsidRPr="00597CD9" w:rsidRDefault="00597CD9" w:rsidP="00597CD9">
      <w:pPr>
        <w:rPr>
          <w:rFonts w:ascii="Times New Roman" w:hAnsi="Times New Roman" w:cs="Times New Roman"/>
          <w:sz w:val="24"/>
          <w:szCs w:val="24"/>
        </w:rPr>
      </w:pPr>
      <w:r w:rsidRPr="00597CD9">
        <w:rPr>
          <w:rFonts w:ascii="Times New Roman" w:hAnsi="Times New Roman" w:cs="Times New Roman"/>
          <w:sz w:val="24"/>
          <w:szCs w:val="24"/>
        </w:rPr>
        <w:t>HVK-2023 yılında fonun eşik değer getirisi (17,46%) BIST TLREF Endeksi getirisinin (21.100%) altında gerçekleştiği için eşik değer olarak BIST TLREF Endeksi kullanılmıştır</w:t>
      </w:r>
    </w:p>
    <w:p w14:paraId="74CD0119" w14:textId="61755EAF" w:rsidR="005F5413" w:rsidRPr="00CD7F05" w:rsidRDefault="005F5413" w:rsidP="00032E31">
      <w:pPr>
        <w:spacing w:after="0"/>
        <w:jc w:val="both"/>
        <w:rPr>
          <w:rFonts w:ascii="Times New Roman" w:hAnsi="Times New Roman" w:cs="Times New Roman"/>
          <w:sz w:val="24"/>
          <w:szCs w:val="24"/>
        </w:rPr>
      </w:pPr>
      <w:r w:rsidRPr="00CD7F05">
        <w:rPr>
          <w:rFonts w:ascii="Times New Roman" w:hAnsi="Times New Roman" w:cs="Times New Roman"/>
          <w:sz w:val="24"/>
          <w:szCs w:val="24"/>
        </w:rPr>
        <w:t>(**)</w:t>
      </w:r>
      <w:r w:rsidRPr="00CD7F05">
        <w:rPr>
          <w:rFonts w:ascii="Times New Roman" w:hAnsi="Times New Roman" w:cs="Times New Roman"/>
          <w:sz w:val="24"/>
          <w:szCs w:val="24"/>
        </w:rPr>
        <w:tab/>
      </w:r>
      <w:r w:rsidR="000333B4" w:rsidRPr="00CD7F05">
        <w:rPr>
          <w:rFonts w:ascii="Times New Roman" w:hAnsi="Times New Roman" w:cs="Times New Roman"/>
          <w:sz w:val="24"/>
          <w:szCs w:val="24"/>
        </w:rPr>
        <w:t>Enflasyon oranı T</w:t>
      </w:r>
      <w:r w:rsidR="0096176B" w:rsidRPr="00CD7F05">
        <w:rPr>
          <w:rFonts w:ascii="Times New Roman" w:hAnsi="Times New Roman" w:cs="Times New Roman"/>
          <w:sz w:val="24"/>
          <w:szCs w:val="24"/>
        </w:rPr>
        <w:t>Ü</w:t>
      </w:r>
      <w:r w:rsidR="000333B4" w:rsidRPr="00CD7F05">
        <w:rPr>
          <w:rFonts w:ascii="Times New Roman" w:hAnsi="Times New Roman" w:cs="Times New Roman"/>
          <w:sz w:val="24"/>
          <w:szCs w:val="24"/>
        </w:rPr>
        <w:t xml:space="preserve">İK tarafından açıklanan </w:t>
      </w:r>
      <w:r w:rsidRPr="00CD7F05">
        <w:rPr>
          <w:rFonts w:ascii="Times New Roman" w:hAnsi="Times New Roman" w:cs="Times New Roman"/>
          <w:sz w:val="24"/>
          <w:szCs w:val="24"/>
        </w:rPr>
        <w:t>ÜFE</w:t>
      </w:r>
      <w:r w:rsidR="000333B4" w:rsidRPr="00CD7F05">
        <w:rPr>
          <w:rFonts w:ascii="Times New Roman" w:hAnsi="Times New Roman" w:cs="Times New Roman"/>
          <w:sz w:val="24"/>
          <w:szCs w:val="24"/>
        </w:rPr>
        <w:t xml:space="preserve">’nin dönemsel oranıdır. </w:t>
      </w:r>
    </w:p>
    <w:p w14:paraId="77B00355" w14:textId="5A02515B" w:rsidR="00030329" w:rsidRPr="00CD7F05" w:rsidRDefault="005F5413" w:rsidP="00032E31">
      <w:pPr>
        <w:spacing w:after="0"/>
        <w:ind w:left="705" w:hanging="705"/>
        <w:jc w:val="both"/>
        <w:rPr>
          <w:rFonts w:ascii="Times New Roman" w:hAnsi="Times New Roman" w:cs="Times New Roman"/>
          <w:sz w:val="24"/>
          <w:szCs w:val="24"/>
        </w:rPr>
      </w:pPr>
      <w:r w:rsidRPr="00CD7F05">
        <w:rPr>
          <w:rFonts w:ascii="Times New Roman" w:hAnsi="Times New Roman" w:cs="Times New Roman"/>
          <w:sz w:val="24"/>
          <w:szCs w:val="24"/>
        </w:rPr>
        <w:t>(***)</w:t>
      </w:r>
      <w:r w:rsidRPr="00CD7F05">
        <w:rPr>
          <w:rFonts w:ascii="Times New Roman" w:hAnsi="Times New Roman" w:cs="Times New Roman"/>
          <w:sz w:val="24"/>
          <w:szCs w:val="24"/>
        </w:rPr>
        <w:tab/>
        <w:t xml:space="preserve">Fon’un kurulduğu </w:t>
      </w:r>
      <w:r w:rsidR="00660067">
        <w:rPr>
          <w:rFonts w:ascii="Times New Roman" w:hAnsi="Times New Roman" w:cs="Times New Roman"/>
          <w:sz w:val="24"/>
          <w:szCs w:val="24"/>
        </w:rPr>
        <w:t>01.01.202</w:t>
      </w:r>
      <w:r w:rsidR="00101F1C">
        <w:rPr>
          <w:rFonts w:ascii="Times New Roman" w:hAnsi="Times New Roman" w:cs="Times New Roman"/>
          <w:sz w:val="24"/>
          <w:szCs w:val="24"/>
        </w:rPr>
        <w:t>4</w:t>
      </w:r>
      <w:r w:rsidR="0096176B" w:rsidRPr="00CD7F05">
        <w:rPr>
          <w:rFonts w:ascii="Times New Roman" w:hAnsi="Times New Roman" w:cs="Times New Roman"/>
          <w:sz w:val="24"/>
          <w:szCs w:val="24"/>
        </w:rPr>
        <w:t xml:space="preserve"> </w:t>
      </w:r>
      <w:r w:rsidRPr="00CD7F05">
        <w:rPr>
          <w:rFonts w:ascii="Times New Roman" w:hAnsi="Times New Roman" w:cs="Times New Roman"/>
          <w:sz w:val="24"/>
          <w:szCs w:val="24"/>
        </w:rPr>
        <w:t xml:space="preserve">ile </w:t>
      </w:r>
      <w:r w:rsidR="002B7A92">
        <w:rPr>
          <w:rFonts w:ascii="Times New Roman" w:hAnsi="Times New Roman" w:cs="Times New Roman"/>
          <w:sz w:val="24"/>
          <w:szCs w:val="24"/>
        </w:rPr>
        <w:t>3</w:t>
      </w:r>
      <w:r w:rsidR="00F05C03">
        <w:rPr>
          <w:rFonts w:ascii="Times New Roman" w:hAnsi="Times New Roman" w:cs="Times New Roman"/>
          <w:sz w:val="24"/>
          <w:szCs w:val="24"/>
        </w:rPr>
        <w:t>0</w:t>
      </w:r>
      <w:r w:rsidR="002B7A92">
        <w:rPr>
          <w:rFonts w:ascii="Times New Roman" w:hAnsi="Times New Roman" w:cs="Times New Roman"/>
          <w:sz w:val="24"/>
          <w:szCs w:val="24"/>
        </w:rPr>
        <w:t>.</w:t>
      </w:r>
      <w:r w:rsidR="00F05C03">
        <w:rPr>
          <w:rFonts w:ascii="Times New Roman" w:hAnsi="Times New Roman" w:cs="Times New Roman"/>
          <w:sz w:val="24"/>
          <w:szCs w:val="24"/>
        </w:rPr>
        <w:t>06.</w:t>
      </w:r>
      <w:r w:rsidR="00660067">
        <w:rPr>
          <w:rFonts w:ascii="Times New Roman" w:hAnsi="Times New Roman" w:cs="Times New Roman"/>
          <w:sz w:val="24"/>
          <w:szCs w:val="24"/>
        </w:rPr>
        <w:t>202</w:t>
      </w:r>
      <w:r w:rsidR="00F05C03">
        <w:rPr>
          <w:rFonts w:ascii="Times New Roman" w:hAnsi="Times New Roman" w:cs="Times New Roman"/>
          <w:sz w:val="24"/>
          <w:szCs w:val="24"/>
        </w:rPr>
        <w:t>4</w:t>
      </w:r>
      <w:r w:rsidR="0096176B" w:rsidRPr="00CD7F05">
        <w:rPr>
          <w:rFonts w:ascii="Times New Roman" w:hAnsi="Times New Roman" w:cs="Times New Roman"/>
          <w:sz w:val="24"/>
          <w:szCs w:val="24"/>
        </w:rPr>
        <w:t xml:space="preserve"> </w:t>
      </w:r>
      <w:r w:rsidRPr="00CD7F05">
        <w:rPr>
          <w:rFonts w:ascii="Times New Roman" w:hAnsi="Times New Roman" w:cs="Times New Roman"/>
          <w:sz w:val="24"/>
          <w:szCs w:val="24"/>
        </w:rPr>
        <w:t>tarihleri arasındaki dönemi kapsamaktadır.</w:t>
      </w:r>
    </w:p>
    <w:p w14:paraId="69E1A96A" w14:textId="77777777" w:rsidR="00BC4211" w:rsidRPr="00CD7F05" w:rsidRDefault="00BC4211" w:rsidP="00032E31">
      <w:pPr>
        <w:spacing w:after="0"/>
        <w:ind w:left="705" w:hanging="705"/>
        <w:jc w:val="both"/>
        <w:rPr>
          <w:rFonts w:ascii="Times New Roman" w:hAnsi="Times New Roman" w:cs="Times New Roman"/>
          <w:sz w:val="24"/>
          <w:szCs w:val="24"/>
        </w:rPr>
      </w:pPr>
    </w:p>
    <w:p w14:paraId="112D3129" w14:textId="77777777" w:rsidR="00BC4211" w:rsidRPr="00CD7F05" w:rsidRDefault="002E2517" w:rsidP="005F5413">
      <w:pPr>
        <w:spacing w:after="0"/>
        <w:ind w:left="705" w:hanging="705"/>
        <w:rPr>
          <w:rFonts w:ascii="Times New Roman" w:hAnsi="Times New Roman" w:cs="Times New Roman"/>
          <w:b/>
          <w:sz w:val="24"/>
          <w:szCs w:val="24"/>
          <w:u w:val="single"/>
        </w:rPr>
      </w:pPr>
      <w:r w:rsidRPr="00CD7F05">
        <w:rPr>
          <w:rFonts w:ascii="Times New Roman" w:hAnsi="Times New Roman" w:cs="Times New Roman"/>
          <w:b/>
          <w:sz w:val="24"/>
          <w:szCs w:val="24"/>
          <w:u w:val="single"/>
          <w:shd w:val="clear" w:color="auto" w:fill="FFFFFF"/>
        </w:rPr>
        <w:lastRenderedPageBreak/>
        <w:t>Portföyün geçmiş performansı gelecek dönem performansı için bir gösterge olamaz.</w:t>
      </w:r>
    </w:p>
    <w:p w14:paraId="2B93F079" w14:textId="657D2188" w:rsidR="00CE6762" w:rsidRPr="00CD7F05" w:rsidRDefault="00CE6762" w:rsidP="005F3AE3">
      <w:pPr>
        <w:spacing w:after="0"/>
        <w:rPr>
          <w:rFonts w:ascii="Times New Roman" w:hAnsi="Times New Roman" w:cs="Times New Roman"/>
          <w:sz w:val="24"/>
          <w:szCs w:val="24"/>
        </w:rPr>
      </w:pPr>
    </w:p>
    <w:p w14:paraId="0C7C4001" w14:textId="77777777" w:rsidR="00CE6762" w:rsidRPr="00CD7F05" w:rsidRDefault="00CE6762" w:rsidP="005F5413">
      <w:pPr>
        <w:spacing w:after="0"/>
        <w:ind w:left="705" w:hanging="705"/>
        <w:rPr>
          <w:rFonts w:ascii="Times New Roman" w:hAnsi="Times New Roman" w:cs="Times New Roman"/>
          <w:sz w:val="24"/>
          <w:szCs w:val="24"/>
        </w:rPr>
      </w:pPr>
    </w:p>
    <w:p w14:paraId="586855A8" w14:textId="77777777" w:rsidR="00BC4211" w:rsidRPr="00CD7F05" w:rsidRDefault="00BC4211" w:rsidP="00BC4211">
      <w:pPr>
        <w:pStyle w:val="ListeParagraf"/>
        <w:numPr>
          <w:ilvl w:val="0"/>
          <w:numId w:val="1"/>
        </w:numPr>
        <w:spacing w:after="0"/>
        <w:rPr>
          <w:rFonts w:ascii="Times New Roman" w:hAnsi="Times New Roman" w:cs="Times New Roman"/>
          <w:b/>
          <w:sz w:val="24"/>
          <w:szCs w:val="24"/>
        </w:rPr>
      </w:pPr>
      <w:r w:rsidRPr="00CD7F05">
        <w:rPr>
          <w:rFonts w:ascii="Times New Roman" w:hAnsi="Times New Roman" w:cs="Times New Roman"/>
          <w:b/>
          <w:sz w:val="24"/>
          <w:szCs w:val="24"/>
        </w:rPr>
        <w:t>DİPNOTLAR</w:t>
      </w:r>
    </w:p>
    <w:p w14:paraId="35AAFA9A" w14:textId="77777777" w:rsidR="00596C79" w:rsidRPr="00CD7F05" w:rsidRDefault="00596C79" w:rsidP="00596C79">
      <w:pPr>
        <w:pStyle w:val="ListeParagraf"/>
        <w:spacing w:after="0"/>
        <w:rPr>
          <w:rFonts w:ascii="Times New Roman" w:hAnsi="Times New Roman" w:cs="Times New Roman"/>
          <w:b/>
          <w:sz w:val="24"/>
          <w:szCs w:val="24"/>
        </w:rPr>
      </w:pPr>
    </w:p>
    <w:p w14:paraId="4E79E25D" w14:textId="0E646871" w:rsidR="005E018D" w:rsidRDefault="003276D7" w:rsidP="005E018D">
      <w:pPr>
        <w:pStyle w:val="ListeParagraf"/>
        <w:numPr>
          <w:ilvl w:val="0"/>
          <w:numId w:val="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52E882C1" w14:textId="57C1291C" w:rsidR="004D66A4" w:rsidRPr="00CD7F05" w:rsidRDefault="004D66A4" w:rsidP="005E018D">
      <w:pPr>
        <w:pStyle w:val="ListeParagraf"/>
        <w:spacing w:after="0"/>
        <w:jc w:val="both"/>
        <w:rPr>
          <w:rFonts w:ascii="Times New Roman" w:hAnsi="Times New Roman" w:cs="Times New Roman"/>
          <w:sz w:val="24"/>
          <w:szCs w:val="24"/>
        </w:rPr>
      </w:pPr>
    </w:p>
    <w:p w14:paraId="3158A6A1" w14:textId="3CECFD41" w:rsidR="00596C79" w:rsidRPr="00CD7F05" w:rsidRDefault="00596C79" w:rsidP="00CD7F05">
      <w:pPr>
        <w:pStyle w:val="ListeParagraf"/>
        <w:spacing w:after="0"/>
        <w:jc w:val="both"/>
        <w:rPr>
          <w:rFonts w:ascii="Times New Roman" w:hAnsi="Times New Roman" w:cs="Times New Roman"/>
          <w:sz w:val="24"/>
          <w:szCs w:val="24"/>
        </w:rPr>
      </w:pPr>
    </w:p>
    <w:p w14:paraId="30FD4DB9" w14:textId="77777777" w:rsidR="00596C79" w:rsidRPr="00CD7F05" w:rsidRDefault="00FF1215" w:rsidP="00596C79">
      <w:pPr>
        <w:pStyle w:val="ListeParagraf"/>
        <w:numPr>
          <w:ilvl w:val="0"/>
          <w:numId w:val="3"/>
        </w:numPr>
        <w:spacing w:after="0"/>
        <w:jc w:val="both"/>
        <w:rPr>
          <w:rFonts w:ascii="Times New Roman" w:hAnsi="Times New Roman" w:cs="Times New Roman"/>
          <w:sz w:val="24"/>
          <w:szCs w:val="24"/>
        </w:rPr>
      </w:pPr>
      <w:r w:rsidRPr="00CD7F05">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CD7F05" w:rsidRDefault="00596C79" w:rsidP="00596C79">
      <w:pPr>
        <w:pStyle w:val="ListeParagraf"/>
        <w:spacing w:after="0"/>
        <w:jc w:val="both"/>
        <w:rPr>
          <w:rFonts w:ascii="Times New Roman" w:hAnsi="Times New Roman" w:cs="Times New Roman"/>
          <w:sz w:val="24"/>
          <w:szCs w:val="24"/>
        </w:rPr>
      </w:pPr>
    </w:p>
    <w:p w14:paraId="699222F4" w14:textId="561B05B0" w:rsidR="00FF1215" w:rsidRPr="00CD7F05" w:rsidRDefault="00FF1215" w:rsidP="00032E31">
      <w:pPr>
        <w:pStyle w:val="ListeParagraf"/>
        <w:numPr>
          <w:ilvl w:val="0"/>
          <w:numId w:val="3"/>
        </w:numPr>
        <w:spacing w:after="0"/>
        <w:jc w:val="both"/>
        <w:rPr>
          <w:rFonts w:ascii="Times New Roman" w:hAnsi="Times New Roman" w:cs="Times New Roman"/>
          <w:sz w:val="24"/>
          <w:szCs w:val="24"/>
        </w:rPr>
      </w:pPr>
      <w:r w:rsidRPr="00CD7F05">
        <w:rPr>
          <w:rFonts w:ascii="Times New Roman" w:hAnsi="Times New Roman" w:cs="Times New Roman"/>
          <w:sz w:val="24"/>
          <w:szCs w:val="24"/>
        </w:rPr>
        <w:t>Fon</w:t>
      </w:r>
      <w:r w:rsidR="00ED76F3" w:rsidRPr="00CD7F05">
        <w:rPr>
          <w:rFonts w:ascii="Times New Roman" w:hAnsi="Times New Roman" w:cs="Times New Roman"/>
          <w:sz w:val="24"/>
          <w:szCs w:val="24"/>
        </w:rPr>
        <w:t>,</w:t>
      </w:r>
      <w:r w:rsidRPr="00CD7F05">
        <w:rPr>
          <w:rFonts w:ascii="Times New Roman" w:hAnsi="Times New Roman" w:cs="Times New Roman"/>
          <w:sz w:val="24"/>
          <w:szCs w:val="24"/>
        </w:rPr>
        <w:t xml:space="preserve"> </w:t>
      </w:r>
      <w:r w:rsidR="00EE1C8B" w:rsidRPr="00CD7F05">
        <w:rPr>
          <w:rFonts w:ascii="Times New Roman" w:hAnsi="Times New Roman" w:cs="Times New Roman"/>
          <w:sz w:val="24"/>
          <w:szCs w:val="24"/>
        </w:rPr>
        <w:t>performans sunum</w:t>
      </w:r>
      <w:r w:rsidRPr="00CD7F05">
        <w:rPr>
          <w:rFonts w:ascii="Times New Roman" w:hAnsi="Times New Roman" w:cs="Times New Roman"/>
          <w:sz w:val="24"/>
          <w:szCs w:val="24"/>
        </w:rPr>
        <w:t xml:space="preserve"> döneminde net </w:t>
      </w:r>
      <w:r w:rsidR="005A19EC" w:rsidRPr="00CD7F05">
        <w:rPr>
          <w:rFonts w:ascii="Times New Roman" w:hAnsi="Times New Roman" w:cs="Times New Roman"/>
          <w:sz w:val="24"/>
          <w:szCs w:val="24"/>
        </w:rPr>
        <w:t>%</w:t>
      </w:r>
      <w:r w:rsidR="005A11CE">
        <w:rPr>
          <w:rFonts w:ascii="Times New Roman" w:hAnsi="Times New Roman" w:cs="Times New Roman"/>
          <w:sz w:val="24"/>
          <w:szCs w:val="24"/>
        </w:rPr>
        <w:t xml:space="preserve"> </w:t>
      </w:r>
      <w:r w:rsidR="00CA0938">
        <w:rPr>
          <w:rFonts w:ascii="Times New Roman" w:hAnsi="Times New Roman" w:cs="Times New Roman"/>
          <w:sz w:val="24"/>
          <w:szCs w:val="24"/>
        </w:rPr>
        <w:t>25,72</w:t>
      </w:r>
      <w:r w:rsidR="005A11CE">
        <w:rPr>
          <w:rFonts w:ascii="Times New Roman" w:hAnsi="Times New Roman" w:cs="Times New Roman"/>
          <w:sz w:val="24"/>
          <w:szCs w:val="24"/>
        </w:rPr>
        <w:t xml:space="preserve"> </w:t>
      </w:r>
      <w:r w:rsidR="005F3AE3" w:rsidRPr="00CD7F05">
        <w:rPr>
          <w:rFonts w:ascii="Times New Roman" w:hAnsi="Times New Roman" w:cs="Times New Roman"/>
          <w:sz w:val="24"/>
          <w:szCs w:val="24"/>
        </w:rPr>
        <w:t xml:space="preserve"> </w:t>
      </w:r>
      <w:r w:rsidR="00237C1F" w:rsidRPr="00CD7F05">
        <w:rPr>
          <w:rFonts w:ascii="Times New Roman" w:hAnsi="Times New Roman" w:cs="Times New Roman"/>
          <w:sz w:val="24"/>
          <w:szCs w:val="24"/>
        </w:rPr>
        <w:t>k</w:t>
      </w:r>
      <w:r w:rsidR="00ED76F3" w:rsidRPr="00CD7F05">
        <w:rPr>
          <w:rFonts w:ascii="Times New Roman" w:hAnsi="Times New Roman" w:cs="Times New Roman"/>
          <w:sz w:val="24"/>
          <w:szCs w:val="24"/>
        </w:rPr>
        <w:t>ar et</w:t>
      </w:r>
      <w:r w:rsidRPr="00CD7F05">
        <w:rPr>
          <w:rFonts w:ascii="Times New Roman" w:hAnsi="Times New Roman" w:cs="Times New Roman"/>
          <w:sz w:val="24"/>
          <w:szCs w:val="24"/>
        </w:rPr>
        <w:t>miştir.</w:t>
      </w:r>
    </w:p>
    <w:p w14:paraId="2653D3D8" w14:textId="77777777" w:rsidR="00596C79" w:rsidRPr="00CD7F05" w:rsidRDefault="00596C79" w:rsidP="00596C79">
      <w:pPr>
        <w:pStyle w:val="ListeParagraf"/>
        <w:spacing w:after="0"/>
        <w:jc w:val="both"/>
        <w:rPr>
          <w:rFonts w:ascii="Times New Roman" w:hAnsi="Times New Roman" w:cs="Times New Roman"/>
          <w:sz w:val="24"/>
          <w:szCs w:val="24"/>
        </w:rPr>
      </w:pPr>
    </w:p>
    <w:p w14:paraId="78F2C54E" w14:textId="60B5AA05" w:rsidR="00ED76F3" w:rsidRDefault="00EE1C8B" w:rsidP="00032E31">
      <w:pPr>
        <w:pStyle w:val="ListeParagraf"/>
        <w:numPr>
          <w:ilvl w:val="0"/>
          <w:numId w:val="3"/>
        </w:numPr>
        <w:spacing w:after="0"/>
        <w:jc w:val="both"/>
        <w:rPr>
          <w:rFonts w:ascii="Times New Roman" w:hAnsi="Times New Roman" w:cs="Times New Roman"/>
          <w:sz w:val="24"/>
          <w:szCs w:val="24"/>
        </w:rPr>
      </w:pPr>
      <w:r w:rsidRPr="00CD7F05">
        <w:rPr>
          <w:rFonts w:ascii="Times New Roman" w:hAnsi="Times New Roman" w:cs="Times New Roman"/>
          <w:sz w:val="24"/>
          <w:szCs w:val="24"/>
        </w:rPr>
        <w:t>Performans sunum</w:t>
      </w:r>
      <w:r w:rsidR="00ED76F3" w:rsidRPr="00CD7F05">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747C6C54" w14:textId="77777777" w:rsidR="00E75433" w:rsidRPr="00E75433" w:rsidRDefault="00E75433" w:rsidP="00E75433">
      <w:pPr>
        <w:pStyle w:val="ListeParagraf"/>
        <w:rPr>
          <w:rFonts w:ascii="Times New Roman" w:hAnsi="Times New Roman" w:cs="Times New Roman"/>
          <w:sz w:val="24"/>
          <w:szCs w:val="24"/>
        </w:rPr>
      </w:pPr>
    </w:p>
    <w:tbl>
      <w:tblPr>
        <w:tblpPr w:leftFromText="141" w:rightFromText="141" w:vertAnchor="text" w:horzAnchor="page" w:tblpX="1851" w:tblpY="-23"/>
        <w:tblW w:w="8890" w:type="dxa"/>
        <w:tblCellMar>
          <w:left w:w="70" w:type="dxa"/>
          <w:right w:w="70" w:type="dxa"/>
        </w:tblCellMar>
        <w:tblLook w:val="04A0" w:firstRow="1" w:lastRow="0" w:firstColumn="1" w:lastColumn="0" w:noHBand="0" w:noVBand="1"/>
      </w:tblPr>
      <w:tblGrid>
        <w:gridCol w:w="3373"/>
        <w:gridCol w:w="2438"/>
        <w:gridCol w:w="3079"/>
      </w:tblGrid>
      <w:tr w:rsidR="00E75433" w:rsidRPr="00E75433" w14:paraId="06B830F4" w14:textId="77777777" w:rsidTr="00E75433">
        <w:trPr>
          <w:trHeight w:val="516"/>
        </w:trPr>
        <w:tc>
          <w:tcPr>
            <w:tcW w:w="337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FD804B3" w14:textId="77777777" w:rsidR="00E75433" w:rsidRPr="00E75433" w:rsidRDefault="00E75433" w:rsidP="00E75433">
            <w:pPr>
              <w:spacing w:after="0" w:line="240" w:lineRule="auto"/>
              <w:jc w:val="center"/>
              <w:rPr>
                <w:rFonts w:ascii="Times New Roman" w:eastAsia="Times New Roman" w:hAnsi="Times New Roman" w:cs="Times New Roman"/>
                <w:b/>
                <w:bCs/>
                <w:color w:val="000000"/>
                <w:sz w:val="24"/>
                <w:szCs w:val="24"/>
                <w:lang w:eastAsia="tr-TR"/>
              </w:rPr>
            </w:pPr>
            <w:r w:rsidRPr="00E75433">
              <w:rPr>
                <w:rFonts w:ascii="Times New Roman" w:eastAsia="Times New Roman" w:hAnsi="Times New Roman" w:cs="Times New Roman"/>
                <w:b/>
                <w:bCs/>
                <w:color w:val="000000"/>
                <w:sz w:val="24"/>
                <w:szCs w:val="24"/>
                <w:lang w:eastAsia="tr-TR"/>
              </w:rPr>
              <w:t>Dönem Faaliyet Giderleri Dağılımı</w:t>
            </w:r>
          </w:p>
        </w:tc>
        <w:tc>
          <w:tcPr>
            <w:tcW w:w="2437" w:type="dxa"/>
            <w:tcBorders>
              <w:top w:val="single" w:sz="8" w:space="0" w:color="auto"/>
              <w:left w:val="nil"/>
              <w:bottom w:val="single" w:sz="4" w:space="0" w:color="auto"/>
              <w:right w:val="single" w:sz="4" w:space="0" w:color="auto"/>
            </w:tcBorders>
            <w:shd w:val="clear" w:color="auto" w:fill="auto"/>
            <w:vAlign w:val="center"/>
            <w:hideMark/>
          </w:tcPr>
          <w:p w14:paraId="3D390DD6" w14:textId="77777777" w:rsidR="00E75433" w:rsidRPr="00E75433" w:rsidRDefault="00E75433" w:rsidP="00E75433">
            <w:pPr>
              <w:spacing w:after="0" w:line="240" w:lineRule="auto"/>
              <w:jc w:val="center"/>
              <w:rPr>
                <w:rFonts w:ascii="Times New Roman" w:eastAsia="Times New Roman" w:hAnsi="Times New Roman" w:cs="Times New Roman"/>
                <w:b/>
                <w:bCs/>
                <w:color w:val="000000"/>
                <w:sz w:val="24"/>
                <w:szCs w:val="24"/>
                <w:lang w:eastAsia="tr-TR"/>
              </w:rPr>
            </w:pPr>
            <w:r w:rsidRPr="00E75433">
              <w:rPr>
                <w:rFonts w:ascii="Times New Roman" w:eastAsia="Times New Roman" w:hAnsi="Times New Roman" w:cs="Times New Roman"/>
                <w:b/>
                <w:bCs/>
                <w:color w:val="000000"/>
                <w:sz w:val="24"/>
                <w:szCs w:val="24"/>
                <w:lang w:eastAsia="tr-TR"/>
              </w:rPr>
              <w:t>Portföy Değerine Oranı (%)</w:t>
            </w:r>
          </w:p>
        </w:tc>
        <w:tc>
          <w:tcPr>
            <w:tcW w:w="3079" w:type="dxa"/>
            <w:tcBorders>
              <w:top w:val="single" w:sz="8" w:space="0" w:color="auto"/>
              <w:left w:val="nil"/>
              <w:bottom w:val="single" w:sz="4" w:space="0" w:color="auto"/>
              <w:right w:val="single" w:sz="8" w:space="0" w:color="auto"/>
            </w:tcBorders>
            <w:shd w:val="clear" w:color="auto" w:fill="auto"/>
            <w:vAlign w:val="center"/>
            <w:hideMark/>
          </w:tcPr>
          <w:p w14:paraId="50D4972B" w14:textId="77777777" w:rsidR="00E75433" w:rsidRPr="00E75433" w:rsidRDefault="00E75433" w:rsidP="00E75433">
            <w:pPr>
              <w:spacing w:after="0" w:line="240" w:lineRule="auto"/>
              <w:jc w:val="center"/>
              <w:rPr>
                <w:rFonts w:ascii="Times New Roman" w:eastAsia="Times New Roman" w:hAnsi="Times New Roman" w:cs="Times New Roman"/>
                <w:b/>
                <w:bCs/>
                <w:color w:val="000000"/>
                <w:sz w:val="24"/>
                <w:szCs w:val="24"/>
                <w:lang w:eastAsia="tr-TR"/>
              </w:rPr>
            </w:pPr>
            <w:r w:rsidRPr="00E75433">
              <w:rPr>
                <w:rFonts w:ascii="Times New Roman" w:eastAsia="Times New Roman" w:hAnsi="Times New Roman" w:cs="Times New Roman"/>
                <w:b/>
                <w:bCs/>
                <w:color w:val="000000"/>
                <w:sz w:val="24"/>
                <w:szCs w:val="24"/>
                <w:lang w:eastAsia="tr-TR"/>
              </w:rPr>
              <w:t>Tutar (TL)</w:t>
            </w:r>
          </w:p>
        </w:tc>
      </w:tr>
      <w:tr w:rsidR="00E75433" w:rsidRPr="00E75433" w14:paraId="6DDAF6B1" w14:textId="77777777" w:rsidTr="00E75433">
        <w:trPr>
          <w:trHeight w:val="258"/>
        </w:trPr>
        <w:tc>
          <w:tcPr>
            <w:tcW w:w="3373" w:type="dxa"/>
            <w:tcBorders>
              <w:top w:val="nil"/>
              <w:left w:val="single" w:sz="8" w:space="0" w:color="auto"/>
              <w:bottom w:val="single" w:sz="4" w:space="0" w:color="auto"/>
              <w:right w:val="single" w:sz="4" w:space="0" w:color="auto"/>
            </w:tcBorders>
            <w:shd w:val="clear" w:color="auto" w:fill="auto"/>
            <w:noWrap/>
            <w:vAlign w:val="center"/>
            <w:hideMark/>
          </w:tcPr>
          <w:p w14:paraId="633ABC6E" w14:textId="77777777" w:rsidR="00E75433" w:rsidRPr="00E75433" w:rsidRDefault="00E75433" w:rsidP="00E75433">
            <w:pPr>
              <w:spacing w:after="0" w:line="240" w:lineRule="auto"/>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Yönetim Ücreti</w:t>
            </w:r>
          </w:p>
        </w:tc>
        <w:tc>
          <w:tcPr>
            <w:tcW w:w="2437" w:type="dxa"/>
            <w:tcBorders>
              <w:top w:val="nil"/>
              <w:left w:val="nil"/>
              <w:bottom w:val="single" w:sz="4" w:space="0" w:color="auto"/>
              <w:right w:val="single" w:sz="8" w:space="0" w:color="auto"/>
            </w:tcBorders>
            <w:shd w:val="clear" w:color="auto" w:fill="auto"/>
            <w:noWrap/>
            <w:vAlign w:val="center"/>
            <w:hideMark/>
          </w:tcPr>
          <w:p w14:paraId="5F5BC637" w14:textId="77777777" w:rsidR="00E75433" w:rsidRPr="00E75433" w:rsidRDefault="00E75433" w:rsidP="00E75433">
            <w:pPr>
              <w:spacing w:after="0" w:line="240" w:lineRule="auto"/>
              <w:jc w:val="center"/>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1.11</w:t>
            </w:r>
          </w:p>
        </w:tc>
        <w:tc>
          <w:tcPr>
            <w:tcW w:w="3079" w:type="dxa"/>
            <w:tcBorders>
              <w:top w:val="nil"/>
              <w:left w:val="single" w:sz="4" w:space="0" w:color="auto"/>
              <w:bottom w:val="single" w:sz="4" w:space="0" w:color="auto"/>
              <w:right w:val="single" w:sz="8" w:space="0" w:color="auto"/>
            </w:tcBorders>
            <w:shd w:val="clear" w:color="auto" w:fill="auto"/>
            <w:noWrap/>
            <w:vAlign w:val="center"/>
            <w:hideMark/>
          </w:tcPr>
          <w:p w14:paraId="5ED0084A" w14:textId="77777777" w:rsidR="00E75433" w:rsidRPr="00E75433" w:rsidRDefault="00E75433" w:rsidP="00E75433">
            <w:pPr>
              <w:spacing w:after="0" w:line="240" w:lineRule="auto"/>
              <w:jc w:val="center"/>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2,274,673.04</w:t>
            </w:r>
          </w:p>
        </w:tc>
      </w:tr>
      <w:tr w:rsidR="00E75433" w:rsidRPr="00E75433" w14:paraId="60AF041C" w14:textId="77777777" w:rsidTr="00E75433">
        <w:trPr>
          <w:trHeight w:val="258"/>
        </w:trPr>
        <w:tc>
          <w:tcPr>
            <w:tcW w:w="3373" w:type="dxa"/>
            <w:tcBorders>
              <w:top w:val="nil"/>
              <w:left w:val="single" w:sz="8" w:space="0" w:color="auto"/>
              <w:bottom w:val="single" w:sz="4" w:space="0" w:color="auto"/>
              <w:right w:val="single" w:sz="4" w:space="0" w:color="auto"/>
            </w:tcBorders>
            <w:shd w:val="clear" w:color="auto" w:fill="auto"/>
            <w:noWrap/>
            <w:vAlign w:val="center"/>
            <w:hideMark/>
          </w:tcPr>
          <w:p w14:paraId="0436CF27" w14:textId="77777777" w:rsidR="00E75433" w:rsidRPr="00E75433" w:rsidRDefault="00E75433" w:rsidP="00E75433">
            <w:pPr>
              <w:spacing w:after="0" w:line="240" w:lineRule="auto"/>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Komisyon ve Diğer İşlem Ücretleri</w:t>
            </w:r>
          </w:p>
        </w:tc>
        <w:tc>
          <w:tcPr>
            <w:tcW w:w="2437" w:type="dxa"/>
            <w:tcBorders>
              <w:top w:val="nil"/>
              <w:left w:val="nil"/>
              <w:bottom w:val="single" w:sz="4" w:space="0" w:color="auto"/>
              <w:right w:val="single" w:sz="8" w:space="0" w:color="auto"/>
            </w:tcBorders>
            <w:shd w:val="clear" w:color="auto" w:fill="auto"/>
            <w:noWrap/>
            <w:vAlign w:val="center"/>
            <w:hideMark/>
          </w:tcPr>
          <w:p w14:paraId="45B5BF8B" w14:textId="77777777" w:rsidR="00E75433" w:rsidRPr="00E75433" w:rsidRDefault="00E75433" w:rsidP="00E75433">
            <w:pPr>
              <w:spacing w:after="0" w:line="240" w:lineRule="auto"/>
              <w:jc w:val="center"/>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0.06</w:t>
            </w:r>
          </w:p>
        </w:tc>
        <w:tc>
          <w:tcPr>
            <w:tcW w:w="3079" w:type="dxa"/>
            <w:tcBorders>
              <w:top w:val="nil"/>
              <w:left w:val="single" w:sz="4" w:space="0" w:color="auto"/>
              <w:bottom w:val="single" w:sz="4" w:space="0" w:color="auto"/>
              <w:right w:val="single" w:sz="8" w:space="0" w:color="auto"/>
            </w:tcBorders>
            <w:shd w:val="clear" w:color="auto" w:fill="auto"/>
            <w:noWrap/>
            <w:vAlign w:val="center"/>
            <w:hideMark/>
          </w:tcPr>
          <w:p w14:paraId="6882100F" w14:textId="77777777" w:rsidR="00E75433" w:rsidRPr="00E75433" w:rsidRDefault="00E75433" w:rsidP="00E75433">
            <w:pPr>
              <w:spacing w:after="0" w:line="240" w:lineRule="auto"/>
              <w:jc w:val="center"/>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121,761.05</w:t>
            </w:r>
          </w:p>
        </w:tc>
      </w:tr>
      <w:tr w:rsidR="00E75433" w:rsidRPr="00E75433" w14:paraId="722AB836" w14:textId="77777777" w:rsidTr="00E75433">
        <w:trPr>
          <w:trHeight w:val="258"/>
        </w:trPr>
        <w:tc>
          <w:tcPr>
            <w:tcW w:w="3373" w:type="dxa"/>
            <w:tcBorders>
              <w:top w:val="nil"/>
              <w:left w:val="single" w:sz="8" w:space="0" w:color="auto"/>
              <w:bottom w:val="single" w:sz="4" w:space="0" w:color="auto"/>
              <w:right w:val="single" w:sz="4" w:space="0" w:color="auto"/>
            </w:tcBorders>
            <w:shd w:val="clear" w:color="auto" w:fill="auto"/>
            <w:noWrap/>
            <w:vAlign w:val="center"/>
            <w:hideMark/>
          </w:tcPr>
          <w:p w14:paraId="353D9F42" w14:textId="77777777" w:rsidR="00E75433" w:rsidRPr="00E75433" w:rsidRDefault="00E75433" w:rsidP="00E75433">
            <w:pPr>
              <w:spacing w:after="0" w:line="240" w:lineRule="auto"/>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Saklama Ücreti</w:t>
            </w:r>
          </w:p>
        </w:tc>
        <w:tc>
          <w:tcPr>
            <w:tcW w:w="2437" w:type="dxa"/>
            <w:tcBorders>
              <w:top w:val="nil"/>
              <w:left w:val="nil"/>
              <w:bottom w:val="single" w:sz="4" w:space="0" w:color="auto"/>
              <w:right w:val="single" w:sz="8" w:space="0" w:color="auto"/>
            </w:tcBorders>
            <w:shd w:val="clear" w:color="auto" w:fill="auto"/>
            <w:noWrap/>
            <w:vAlign w:val="center"/>
            <w:hideMark/>
          </w:tcPr>
          <w:p w14:paraId="18136ED6" w14:textId="77777777" w:rsidR="00E75433" w:rsidRPr="00E75433" w:rsidRDefault="00E75433" w:rsidP="00E75433">
            <w:pPr>
              <w:spacing w:after="0" w:line="240" w:lineRule="auto"/>
              <w:jc w:val="center"/>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0.08</w:t>
            </w:r>
          </w:p>
        </w:tc>
        <w:tc>
          <w:tcPr>
            <w:tcW w:w="3079" w:type="dxa"/>
            <w:tcBorders>
              <w:top w:val="nil"/>
              <w:left w:val="single" w:sz="4" w:space="0" w:color="auto"/>
              <w:bottom w:val="single" w:sz="4" w:space="0" w:color="auto"/>
              <w:right w:val="single" w:sz="8" w:space="0" w:color="auto"/>
            </w:tcBorders>
            <w:shd w:val="clear" w:color="auto" w:fill="auto"/>
            <w:noWrap/>
            <w:vAlign w:val="center"/>
            <w:hideMark/>
          </w:tcPr>
          <w:p w14:paraId="3C8FC2A3" w14:textId="77777777" w:rsidR="00E75433" w:rsidRPr="00E75433" w:rsidRDefault="00E75433" w:rsidP="00E75433">
            <w:pPr>
              <w:spacing w:after="0" w:line="240" w:lineRule="auto"/>
              <w:jc w:val="center"/>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172,579.99</w:t>
            </w:r>
          </w:p>
        </w:tc>
      </w:tr>
      <w:tr w:rsidR="00E75433" w:rsidRPr="00E75433" w14:paraId="73882774" w14:textId="77777777" w:rsidTr="00E75433">
        <w:trPr>
          <w:trHeight w:val="258"/>
        </w:trPr>
        <w:tc>
          <w:tcPr>
            <w:tcW w:w="3373" w:type="dxa"/>
            <w:tcBorders>
              <w:top w:val="nil"/>
              <w:left w:val="single" w:sz="8" w:space="0" w:color="auto"/>
              <w:bottom w:val="single" w:sz="4" w:space="0" w:color="auto"/>
              <w:right w:val="single" w:sz="4" w:space="0" w:color="auto"/>
            </w:tcBorders>
            <w:shd w:val="clear" w:color="auto" w:fill="auto"/>
            <w:noWrap/>
            <w:vAlign w:val="center"/>
            <w:hideMark/>
          </w:tcPr>
          <w:p w14:paraId="6BE9D704" w14:textId="77777777" w:rsidR="00E75433" w:rsidRPr="00E75433" w:rsidRDefault="00E75433" w:rsidP="00E75433">
            <w:pPr>
              <w:spacing w:after="0" w:line="240" w:lineRule="auto"/>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Kurul Ücretleri</w:t>
            </w:r>
          </w:p>
        </w:tc>
        <w:tc>
          <w:tcPr>
            <w:tcW w:w="2437" w:type="dxa"/>
            <w:tcBorders>
              <w:top w:val="nil"/>
              <w:left w:val="nil"/>
              <w:bottom w:val="single" w:sz="4" w:space="0" w:color="auto"/>
              <w:right w:val="single" w:sz="8" w:space="0" w:color="auto"/>
            </w:tcBorders>
            <w:shd w:val="clear" w:color="auto" w:fill="auto"/>
            <w:noWrap/>
            <w:vAlign w:val="center"/>
            <w:hideMark/>
          </w:tcPr>
          <w:p w14:paraId="04EAA7C6" w14:textId="77777777" w:rsidR="00E75433" w:rsidRPr="00E75433" w:rsidRDefault="00E75433" w:rsidP="00E75433">
            <w:pPr>
              <w:spacing w:after="0" w:line="240" w:lineRule="auto"/>
              <w:jc w:val="center"/>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0.01</w:t>
            </w:r>
          </w:p>
        </w:tc>
        <w:tc>
          <w:tcPr>
            <w:tcW w:w="3079" w:type="dxa"/>
            <w:tcBorders>
              <w:top w:val="nil"/>
              <w:left w:val="single" w:sz="4" w:space="0" w:color="auto"/>
              <w:bottom w:val="single" w:sz="4" w:space="0" w:color="auto"/>
              <w:right w:val="single" w:sz="8" w:space="0" w:color="auto"/>
            </w:tcBorders>
            <w:shd w:val="clear" w:color="auto" w:fill="auto"/>
            <w:noWrap/>
            <w:vAlign w:val="center"/>
            <w:hideMark/>
          </w:tcPr>
          <w:p w14:paraId="3932F906" w14:textId="77777777" w:rsidR="00E75433" w:rsidRPr="00E75433" w:rsidRDefault="00E75433" w:rsidP="00E75433">
            <w:pPr>
              <w:spacing w:after="0" w:line="240" w:lineRule="auto"/>
              <w:jc w:val="center"/>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18,922.56</w:t>
            </w:r>
          </w:p>
        </w:tc>
      </w:tr>
      <w:tr w:rsidR="00E75433" w:rsidRPr="00E75433" w14:paraId="198ABEE3" w14:textId="77777777" w:rsidTr="00E75433">
        <w:trPr>
          <w:trHeight w:val="258"/>
        </w:trPr>
        <w:tc>
          <w:tcPr>
            <w:tcW w:w="3373" w:type="dxa"/>
            <w:tcBorders>
              <w:top w:val="nil"/>
              <w:left w:val="single" w:sz="8" w:space="0" w:color="auto"/>
              <w:bottom w:val="single" w:sz="4" w:space="0" w:color="auto"/>
              <w:right w:val="single" w:sz="4" w:space="0" w:color="auto"/>
            </w:tcBorders>
            <w:shd w:val="clear" w:color="auto" w:fill="auto"/>
            <w:noWrap/>
            <w:vAlign w:val="center"/>
            <w:hideMark/>
          </w:tcPr>
          <w:p w14:paraId="495E89E5" w14:textId="77777777" w:rsidR="00E75433" w:rsidRPr="00E75433" w:rsidRDefault="00E75433" w:rsidP="00E75433">
            <w:pPr>
              <w:spacing w:after="0" w:line="240" w:lineRule="auto"/>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Bağımsız Denetim Ücreti</w:t>
            </w:r>
          </w:p>
        </w:tc>
        <w:tc>
          <w:tcPr>
            <w:tcW w:w="2437" w:type="dxa"/>
            <w:tcBorders>
              <w:top w:val="nil"/>
              <w:left w:val="nil"/>
              <w:bottom w:val="single" w:sz="4" w:space="0" w:color="auto"/>
              <w:right w:val="single" w:sz="8" w:space="0" w:color="auto"/>
            </w:tcBorders>
            <w:shd w:val="clear" w:color="auto" w:fill="auto"/>
            <w:noWrap/>
            <w:vAlign w:val="center"/>
            <w:hideMark/>
          </w:tcPr>
          <w:p w14:paraId="4ADD00AA" w14:textId="77777777" w:rsidR="00E75433" w:rsidRPr="00E75433" w:rsidRDefault="00E75433" w:rsidP="00E75433">
            <w:pPr>
              <w:spacing w:after="0" w:line="240" w:lineRule="auto"/>
              <w:jc w:val="center"/>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0.01</w:t>
            </w:r>
          </w:p>
        </w:tc>
        <w:tc>
          <w:tcPr>
            <w:tcW w:w="3079" w:type="dxa"/>
            <w:tcBorders>
              <w:top w:val="nil"/>
              <w:left w:val="single" w:sz="4" w:space="0" w:color="auto"/>
              <w:bottom w:val="single" w:sz="4" w:space="0" w:color="auto"/>
              <w:right w:val="single" w:sz="8" w:space="0" w:color="auto"/>
            </w:tcBorders>
            <w:shd w:val="clear" w:color="auto" w:fill="auto"/>
            <w:noWrap/>
            <w:vAlign w:val="center"/>
            <w:hideMark/>
          </w:tcPr>
          <w:p w14:paraId="1B6F57DF" w14:textId="77777777" w:rsidR="00E75433" w:rsidRPr="00E75433" w:rsidRDefault="00E75433" w:rsidP="00E75433">
            <w:pPr>
              <w:spacing w:after="0" w:line="240" w:lineRule="auto"/>
              <w:jc w:val="center"/>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10,584.88</w:t>
            </w:r>
          </w:p>
        </w:tc>
      </w:tr>
      <w:tr w:rsidR="00E75433" w:rsidRPr="00E75433" w14:paraId="4E967B30" w14:textId="77777777" w:rsidTr="00E75433">
        <w:trPr>
          <w:trHeight w:val="258"/>
        </w:trPr>
        <w:tc>
          <w:tcPr>
            <w:tcW w:w="3373" w:type="dxa"/>
            <w:tcBorders>
              <w:top w:val="nil"/>
              <w:left w:val="single" w:sz="8" w:space="0" w:color="auto"/>
              <w:bottom w:val="single" w:sz="4" w:space="0" w:color="auto"/>
              <w:right w:val="single" w:sz="4" w:space="0" w:color="auto"/>
            </w:tcBorders>
            <w:shd w:val="clear" w:color="auto" w:fill="auto"/>
            <w:noWrap/>
            <w:vAlign w:val="center"/>
            <w:hideMark/>
          </w:tcPr>
          <w:p w14:paraId="7AC9B8C4" w14:textId="77777777" w:rsidR="00E75433" w:rsidRPr="00E75433" w:rsidRDefault="00E75433" w:rsidP="00E75433">
            <w:pPr>
              <w:spacing w:after="0" w:line="240" w:lineRule="auto"/>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Diğer Giderler</w:t>
            </w:r>
          </w:p>
        </w:tc>
        <w:tc>
          <w:tcPr>
            <w:tcW w:w="2437" w:type="dxa"/>
            <w:tcBorders>
              <w:top w:val="nil"/>
              <w:left w:val="nil"/>
              <w:bottom w:val="single" w:sz="4" w:space="0" w:color="auto"/>
              <w:right w:val="single" w:sz="8" w:space="0" w:color="auto"/>
            </w:tcBorders>
            <w:shd w:val="clear" w:color="auto" w:fill="auto"/>
            <w:noWrap/>
            <w:vAlign w:val="center"/>
            <w:hideMark/>
          </w:tcPr>
          <w:p w14:paraId="27C24126" w14:textId="77777777" w:rsidR="00E75433" w:rsidRPr="00E75433" w:rsidRDefault="00E75433" w:rsidP="00E75433">
            <w:pPr>
              <w:spacing w:after="0" w:line="240" w:lineRule="auto"/>
              <w:jc w:val="center"/>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0.03</w:t>
            </w:r>
          </w:p>
        </w:tc>
        <w:tc>
          <w:tcPr>
            <w:tcW w:w="3079" w:type="dxa"/>
            <w:tcBorders>
              <w:top w:val="nil"/>
              <w:left w:val="single" w:sz="4" w:space="0" w:color="auto"/>
              <w:bottom w:val="single" w:sz="4" w:space="0" w:color="auto"/>
              <w:right w:val="single" w:sz="8" w:space="0" w:color="auto"/>
            </w:tcBorders>
            <w:shd w:val="clear" w:color="auto" w:fill="auto"/>
            <w:noWrap/>
            <w:vAlign w:val="center"/>
            <w:hideMark/>
          </w:tcPr>
          <w:p w14:paraId="624A11B7" w14:textId="77777777" w:rsidR="00E75433" w:rsidRPr="00E75433" w:rsidRDefault="00E75433" w:rsidP="00E75433">
            <w:pPr>
              <w:spacing w:after="0" w:line="240" w:lineRule="auto"/>
              <w:jc w:val="center"/>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62,040.81</w:t>
            </w:r>
          </w:p>
        </w:tc>
      </w:tr>
      <w:tr w:rsidR="00E75433" w:rsidRPr="00E75433" w14:paraId="4CCC8834" w14:textId="77777777" w:rsidTr="00E75433">
        <w:trPr>
          <w:trHeight w:val="270"/>
        </w:trPr>
        <w:tc>
          <w:tcPr>
            <w:tcW w:w="3373" w:type="dxa"/>
            <w:tcBorders>
              <w:top w:val="nil"/>
              <w:left w:val="single" w:sz="8" w:space="0" w:color="auto"/>
              <w:bottom w:val="single" w:sz="8" w:space="0" w:color="auto"/>
              <w:right w:val="single" w:sz="4" w:space="0" w:color="auto"/>
            </w:tcBorders>
            <w:shd w:val="clear" w:color="auto" w:fill="auto"/>
            <w:noWrap/>
            <w:vAlign w:val="center"/>
            <w:hideMark/>
          </w:tcPr>
          <w:p w14:paraId="7E00B4E1" w14:textId="77777777" w:rsidR="00E75433" w:rsidRPr="00E75433" w:rsidRDefault="00E75433" w:rsidP="00E75433">
            <w:pPr>
              <w:spacing w:after="0" w:line="240" w:lineRule="auto"/>
              <w:rPr>
                <w:rFonts w:ascii="Times New Roman" w:eastAsia="Times New Roman" w:hAnsi="Times New Roman" w:cs="Times New Roman"/>
                <w:b/>
                <w:bCs/>
                <w:color w:val="000000"/>
                <w:sz w:val="24"/>
                <w:szCs w:val="24"/>
                <w:lang w:eastAsia="tr-TR"/>
              </w:rPr>
            </w:pPr>
            <w:r w:rsidRPr="00E75433">
              <w:rPr>
                <w:rFonts w:ascii="Times New Roman" w:eastAsia="Times New Roman" w:hAnsi="Times New Roman" w:cs="Times New Roman"/>
                <w:b/>
                <w:bCs/>
                <w:color w:val="000000"/>
                <w:sz w:val="24"/>
                <w:szCs w:val="24"/>
                <w:lang w:eastAsia="tr-TR"/>
              </w:rPr>
              <w:t>Toplam</w:t>
            </w:r>
          </w:p>
        </w:tc>
        <w:tc>
          <w:tcPr>
            <w:tcW w:w="2437" w:type="dxa"/>
            <w:tcBorders>
              <w:top w:val="nil"/>
              <w:left w:val="nil"/>
              <w:bottom w:val="single" w:sz="8" w:space="0" w:color="auto"/>
              <w:right w:val="single" w:sz="4" w:space="0" w:color="auto"/>
            </w:tcBorders>
            <w:shd w:val="clear" w:color="auto" w:fill="auto"/>
            <w:noWrap/>
            <w:vAlign w:val="center"/>
            <w:hideMark/>
          </w:tcPr>
          <w:p w14:paraId="7C2810C6" w14:textId="77777777" w:rsidR="00E75433" w:rsidRPr="00E75433" w:rsidRDefault="00E75433" w:rsidP="00E75433">
            <w:pPr>
              <w:spacing w:after="0" w:line="240" w:lineRule="auto"/>
              <w:jc w:val="center"/>
              <w:rPr>
                <w:rFonts w:ascii="Times New Roman" w:eastAsia="Times New Roman" w:hAnsi="Times New Roman" w:cs="Times New Roman"/>
                <w:b/>
                <w:bCs/>
                <w:color w:val="000000"/>
                <w:sz w:val="24"/>
                <w:szCs w:val="24"/>
                <w:lang w:eastAsia="tr-TR"/>
              </w:rPr>
            </w:pPr>
            <w:r w:rsidRPr="00E75433">
              <w:rPr>
                <w:rFonts w:ascii="Times New Roman" w:eastAsia="Times New Roman" w:hAnsi="Times New Roman" w:cs="Times New Roman"/>
                <w:b/>
                <w:bCs/>
                <w:color w:val="000000"/>
                <w:sz w:val="24"/>
                <w:szCs w:val="24"/>
                <w:lang w:eastAsia="tr-TR"/>
              </w:rPr>
              <w:t>1.30</w:t>
            </w:r>
          </w:p>
        </w:tc>
        <w:tc>
          <w:tcPr>
            <w:tcW w:w="3079" w:type="dxa"/>
            <w:tcBorders>
              <w:top w:val="nil"/>
              <w:left w:val="nil"/>
              <w:bottom w:val="single" w:sz="4" w:space="0" w:color="auto"/>
              <w:right w:val="single" w:sz="8" w:space="0" w:color="auto"/>
            </w:tcBorders>
            <w:shd w:val="clear" w:color="auto" w:fill="auto"/>
            <w:noWrap/>
            <w:vAlign w:val="center"/>
            <w:hideMark/>
          </w:tcPr>
          <w:p w14:paraId="281871A5" w14:textId="77777777" w:rsidR="00E75433" w:rsidRPr="00E75433" w:rsidRDefault="00E75433" w:rsidP="00E75433">
            <w:pPr>
              <w:spacing w:after="0" w:line="240" w:lineRule="auto"/>
              <w:jc w:val="center"/>
              <w:rPr>
                <w:rFonts w:ascii="Times New Roman" w:eastAsia="Times New Roman" w:hAnsi="Times New Roman" w:cs="Times New Roman"/>
                <w:b/>
                <w:bCs/>
                <w:color w:val="000000"/>
                <w:sz w:val="24"/>
                <w:szCs w:val="24"/>
                <w:lang w:eastAsia="tr-TR"/>
              </w:rPr>
            </w:pPr>
            <w:r w:rsidRPr="00E75433">
              <w:rPr>
                <w:rFonts w:ascii="Times New Roman" w:eastAsia="Times New Roman" w:hAnsi="Times New Roman" w:cs="Times New Roman"/>
                <w:b/>
                <w:bCs/>
                <w:color w:val="000000"/>
                <w:sz w:val="24"/>
                <w:szCs w:val="24"/>
                <w:lang w:eastAsia="tr-TR"/>
              </w:rPr>
              <w:t>2,660,562.33</w:t>
            </w:r>
          </w:p>
        </w:tc>
      </w:tr>
      <w:tr w:rsidR="00E75433" w:rsidRPr="00E75433" w14:paraId="670018F2" w14:textId="77777777" w:rsidTr="00E75433">
        <w:trPr>
          <w:trHeight w:val="258"/>
        </w:trPr>
        <w:tc>
          <w:tcPr>
            <w:tcW w:w="3373" w:type="dxa"/>
            <w:tcBorders>
              <w:top w:val="nil"/>
              <w:left w:val="nil"/>
              <w:bottom w:val="nil"/>
              <w:right w:val="nil"/>
            </w:tcBorders>
            <w:shd w:val="clear" w:color="auto" w:fill="auto"/>
            <w:noWrap/>
            <w:vAlign w:val="center"/>
            <w:hideMark/>
          </w:tcPr>
          <w:p w14:paraId="5D9214BF" w14:textId="77777777" w:rsidR="00E75433" w:rsidRPr="00E75433" w:rsidRDefault="00E75433" w:rsidP="00E75433">
            <w:pPr>
              <w:spacing w:after="0" w:line="240" w:lineRule="auto"/>
              <w:jc w:val="center"/>
              <w:rPr>
                <w:rFonts w:ascii="Times New Roman" w:eastAsia="Times New Roman" w:hAnsi="Times New Roman" w:cs="Times New Roman"/>
                <w:b/>
                <w:bCs/>
                <w:color w:val="000000"/>
                <w:sz w:val="24"/>
                <w:szCs w:val="24"/>
                <w:lang w:eastAsia="tr-TR"/>
              </w:rPr>
            </w:pPr>
          </w:p>
        </w:tc>
        <w:tc>
          <w:tcPr>
            <w:tcW w:w="2437" w:type="dxa"/>
            <w:tcBorders>
              <w:top w:val="nil"/>
              <w:left w:val="nil"/>
              <w:bottom w:val="nil"/>
              <w:right w:val="nil"/>
            </w:tcBorders>
            <w:shd w:val="clear" w:color="auto" w:fill="auto"/>
            <w:noWrap/>
            <w:vAlign w:val="center"/>
            <w:hideMark/>
          </w:tcPr>
          <w:p w14:paraId="4832C5C4" w14:textId="77777777" w:rsidR="00E75433" w:rsidRPr="00E75433" w:rsidRDefault="00E75433" w:rsidP="00E75433">
            <w:pPr>
              <w:spacing w:after="0" w:line="240" w:lineRule="auto"/>
              <w:rPr>
                <w:rFonts w:ascii="Times New Roman" w:eastAsia="Times New Roman" w:hAnsi="Times New Roman" w:cs="Times New Roman"/>
                <w:sz w:val="20"/>
                <w:szCs w:val="20"/>
                <w:lang w:eastAsia="tr-TR"/>
              </w:rPr>
            </w:pPr>
          </w:p>
        </w:tc>
        <w:tc>
          <w:tcPr>
            <w:tcW w:w="3079" w:type="dxa"/>
            <w:tcBorders>
              <w:top w:val="nil"/>
              <w:left w:val="nil"/>
              <w:bottom w:val="nil"/>
              <w:right w:val="nil"/>
            </w:tcBorders>
            <w:shd w:val="clear" w:color="auto" w:fill="auto"/>
            <w:noWrap/>
            <w:vAlign w:val="center"/>
            <w:hideMark/>
          </w:tcPr>
          <w:p w14:paraId="5ED9DCFF" w14:textId="77777777" w:rsidR="00E75433" w:rsidRPr="00E75433" w:rsidRDefault="00E75433" w:rsidP="00E75433">
            <w:pPr>
              <w:spacing w:after="0" w:line="240" w:lineRule="auto"/>
              <w:rPr>
                <w:rFonts w:ascii="Times New Roman" w:eastAsia="Times New Roman" w:hAnsi="Times New Roman" w:cs="Times New Roman"/>
                <w:sz w:val="20"/>
                <w:szCs w:val="20"/>
                <w:lang w:eastAsia="tr-TR"/>
              </w:rPr>
            </w:pPr>
          </w:p>
        </w:tc>
      </w:tr>
      <w:tr w:rsidR="00E75433" w:rsidRPr="00E75433" w14:paraId="48E63484" w14:textId="77777777" w:rsidTr="00E75433">
        <w:trPr>
          <w:trHeight w:val="270"/>
        </w:trPr>
        <w:tc>
          <w:tcPr>
            <w:tcW w:w="3373" w:type="dxa"/>
            <w:tcBorders>
              <w:top w:val="nil"/>
              <w:left w:val="nil"/>
              <w:bottom w:val="nil"/>
              <w:right w:val="nil"/>
            </w:tcBorders>
            <w:shd w:val="clear" w:color="auto" w:fill="auto"/>
            <w:noWrap/>
            <w:vAlign w:val="center"/>
            <w:hideMark/>
          </w:tcPr>
          <w:p w14:paraId="09C9F4DA" w14:textId="77777777" w:rsidR="00E75433" w:rsidRPr="00E75433" w:rsidRDefault="00E75433" w:rsidP="00E75433">
            <w:pPr>
              <w:spacing w:after="0" w:line="240" w:lineRule="auto"/>
              <w:rPr>
                <w:rFonts w:ascii="Times New Roman" w:eastAsia="Times New Roman" w:hAnsi="Times New Roman" w:cs="Times New Roman"/>
                <w:sz w:val="20"/>
                <w:szCs w:val="20"/>
                <w:lang w:eastAsia="tr-TR"/>
              </w:rPr>
            </w:pPr>
          </w:p>
        </w:tc>
        <w:tc>
          <w:tcPr>
            <w:tcW w:w="2437" w:type="dxa"/>
            <w:tcBorders>
              <w:top w:val="nil"/>
              <w:left w:val="nil"/>
              <w:bottom w:val="nil"/>
              <w:right w:val="nil"/>
            </w:tcBorders>
            <w:shd w:val="clear" w:color="auto" w:fill="auto"/>
            <w:noWrap/>
            <w:vAlign w:val="center"/>
            <w:hideMark/>
          </w:tcPr>
          <w:p w14:paraId="23C3091E" w14:textId="77777777" w:rsidR="00E75433" w:rsidRPr="00E75433" w:rsidRDefault="00E75433" w:rsidP="00E75433">
            <w:pPr>
              <w:spacing w:after="0" w:line="240" w:lineRule="auto"/>
              <w:rPr>
                <w:rFonts w:ascii="Times New Roman" w:eastAsia="Times New Roman" w:hAnsi="Times New Roman" w:cs="Times New Roman"/>
                <w:sz w:val="20"/>
                <w:szCs w:val="20"/>
                <w:lang w:eastAsia="tr-TR"/>
              </w:rPr>
            </w:pPr>
          </w:p>
        </w:tc>
        <w:tc>
          <w:tcPr>
            <w:tcW w:w="3079" w:type="dxa"/>
            <w:tcBorders>
              <w:top w:val="nil"/>
              <w:left w:val="nil"/>
              <w:bottom w:val="nil"/>
              <w:right w:val="nil"/>
            </w:tcBorders>
            <w:shd w:val="clear" w:color="auto" w:fill="auto"/>
            <w:noWrap/>
            <w:vAlign w:val="center"/>
            <w:hideMark/>
          </w:tcPr>
          <w:p w14:paraId="0C41870A" w14:textId="77777777" w:rsidR="00E75433" w:rsidRPr="00E75433" w:rsidRDefault="00E75433" w:rsidP="00E75433">
            <w:pPr>
              <w:spacing w:after="0" w:line="240" w:lineRule="auto"/>
              <w:rPr>
                <w:rFonts w:ascii="Times New Roman" w:eastAsia="Times New Roman" w:hAnsi="Times New Roman" w:cs="Times New Roman"/>
                <w:sz w:val="20"/>
                <w:szCs w:val="20"/>
                <w:lang w:eastAsia="tr-TR"/>
              </w:rPr>
            </w:pPr>
          </w:p>
        </w:tc>
      </w:tr>
      <w:tr w:rsidR="00E75433" w:rsidRPr="00E75433" w14:paraId="4E250ADA" w14:textId="77777777" w:rsidTr="00E75433">
        <w:trPr>
          <w:trHeight w:val="258"/>
        </w:trPr>
        <w:tc>
          <w:tcPr>
            <w:tcW w:w="8890"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2799A66" w14:textId="77777777" w:rsidR="00E75433" w:rsidRPr="00E75433" w:rsidRDefault="00E75433" w:rsidP="00E75433">
            <w:pPr>
              <w:spacing w:after="0" w:line="240" w:lineRule="auto"/>
              <w:jc w:val="center"/>
              <w:rPr>
                <w:rFonts w:ascii="Times New Roman" w:eastAsia="Times New Roman" w:hAnsi="Times New Roman" w:cs="Times New Roman"/>
                <w:b/>
                <w:bCs/>
                <w:color w:val="000000"/>
                <w:sz w:val="24"/>
                <w:szCs w:val="24"/>
                <w:lang w:eastAsia="tr-TR"/>
              </w:rPr>
            </w:pPr>
            <w:r w:rsidRPr="00E75433">
              <w:rPr>
                <w:rFonts w:ascii="Times New Roman" w:eastAsia="Times New Roman" w:hAnsi="Times New Roman" w:cs="Times New Roman"/>
                <w:b/>
                <w:bCs/>
                <w:color w:val="000000"/>
                <w:sz w:val="24"/>
                <w:szCs w:val="24"/>
                <w:lang w:eastAsia="tr-TR"/>
              </w:rPr>
              <w:t>01 Ocak - 30 Haziran 2024</w:t>
            </w:r>
          </w:p>
        </w:tc>
      </w:tr>
      <w:tr w:rsidR="00E75433" w:rsidRPr="00E75433" w14:paraId="100690FB" w14:textId="77777777" w:rsidTr="00E75433">
        <w:trPr>
          <w:trHeight w:val="258"/>
        </w:trPr>
        <w:tc>
          <w:tcPr>
            <w:tcW w:w="5811"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1E3830" w14:textId="77777777" w:rsidR="00E75433" w:rsidRPr="00E75433" w:rsidRDefault="00E75433" w:rsidP="00E75433">
            <w:pPr>
              <w:spacing w:after="0" w:line="240" w:lineRule="auto"/>
              <w:rPr>
                <w:rFonts w:ascii="Times New Roman" w:eastAsia="Times New Roman" w:hAnsi="Times New Roman" w:cs="Times New Roman"/>
                <w:sz w:val="24"/>
                <w:szCs w:val="24"/>
                <w:lang w:eastAsia="tr-TR"/>
              </w:rPr>
            </w:pPr>
            <w:r w:rsidRPr="00E75433">
              <w:rPr>
                <w:rFonts w:ascii="Times New Roman" w:eastAsia="Times New Roman" w:hAnsi="Times New Roman" w:cs="Times New Roman"/>
                <w:sz w:val="24"/>
                <w:szCs w:val="24"/>
                <w:lang w:eastAsia="tr-TR"/>
              </w:rPr>
              <w:t>Ortalama Fon Portföy Değeri</w:t>
            </w:r>
          </w:p>
        </w:tc>
        <w:tc>
          <w:tcPr>
            <w:tcW w:w="3079" w:type="dxa"/>
            <w:tcBorders>
              <w:top w:val="nil"/>
              <w:left w:val="nil"/>
              <w:bottom w:val="single" w:sz="4" w:space="0" w:color="auto"/>
              <w:right w:val="single" w:sz="8" w:space="0" w:color="auto"/>
            </w:tcBorders>
            <w:shd w:val="clear" w:color="auto" w:fill="auto"/>
            <w:noWrap/>
            <w:vAlign w:val="center"/>
            <w:hideMark/>
          </w:tcPr>
          <w:p w14:paraId="685E9853" w14:textId="77777777" w:rsidR="00E75433" w:rsidRPr="00E75433" w:rsidRDefault="00E75433" w:rsidP="00E75433">
            <w:pPr>
              <w:spacing w:after="0" w:line="240" w:lineRule="auto"/>
              <w:jc w:val="center"/>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204,214,327.62</w:t>
            </w:r>
          </w:p>
        </w:tc>
      </w:tr>
      <w:tr w:rsidR="00E75433" w:rsidRPr="00E75433" w14:paraId="5BD4DE1D" w14:textId="77777777" w:rsidTr="00E75433">
        <w:trPr>
          <w:trHeight w:val="258"/>
        </w:trPr>
        <w:tc>
          <w:tcPr>
            <w:tcW w:w="5811"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6F4A514" w14:textId="77777777" w:rsidR="00E75433" w:rsidRPr="00E75433" w:rsidRDefault="00E75433" w:rsidP="00E75433">
            <w:pPr>
              <w:spacing w:after="0" w:line="240" w:lineRule="auto"/>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Toplam Faaliyet Giderleri</w:t>
            </w:r>
          </w:p>
        </w:tc>
        <w:tc>
          <w:tcPr>
            <w:tcW w:w="3079" w:type="dxa"/>
            <w:tcBorders>
              <w:top w:val="nil"/>
              <w:left w:val="nil"/>
              <w:bottom w:val="single" w:sz="4" w:space="0" w:color="auto"/>
              <w:right w:val="single" w:sz="8" w:space="0" w:color="auto"/>
            </w:tcBorders>
            <w:shd w:val="clear" w:color="auto" w:fill="auto"/>
            <w:noWrap/>
            <w:vAlign w:val="center"/>
            <w:hideMark/>
          </w:tcPr>
          <w:p w14:paraId="526DDD6F" w14:textId="77777777" w:rsidR="00E75433" w:rsidRPr="00E75433" w:rsidRDefault="00E75433" w:rsidP="00E75433">
            <w:pPr>
              <w:spacing w:after="0" w:line="240" w:lineRule="auto"/>
              <w:jc w:val="center"/>
              <w:rPr>
                <w:rFonts w:ascii="Times New Roman" w:eastAsia="Times New Roman" w:hAnsi="Times New Roman" w:cs="Times New Roman"/>
                <w:color w:val="000000"/>
                <w:sz w:val="24"/>
                <w:szCs w:val="24"/>
                <w:lang w:eastAsia="tr-TR"/>
              </w:rPr>
            </w:pPr>
            <w:r w:rsidRPr="00E75433">
              <w:rPr>
                <w:rFonts w:ascii="Times New Roman" w:eastAsia="Times New Roman" w:hAnsi="Times New Roman" w:cs="Times New Roman"/>
                <w:color w:val="000000"/>
                <w:sz w:val="24"/>
                <w:szCs w:val="24"/>
                <w:lang w:eastAsia="tr-TR"/>
              </w:rPr>
              <w:t>2,660,562.33</w:t>
            </w:r>
          </w:p>
        </w:tc>
      </w:tr>
      <w:tr w:rsidR="00E75433" w:rsidRPr="00E75433" w14:paraId="1F4038F2" w14:textId="77777777" w:rsidTr="00E75433">
        <w:trPr>
          <w:trHeight w:val="270"/>
        </w:trPr>
        <w:tc>
          <w:tcPr>
            <w:tcW w:w="5811"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059E2DE" w14:textId="77777777" w:rsidR="00E75433" w:rsidRPr="00E75433" w:rsidRDefault="00E75433" w:rsidP="00E75433">
            <w:pPr>
              <w:spacing w:after="0" w:line="240" w:lineRule="auto"/>
              <w:rPr>
                <w:rFonts w:ascii="Times New Roman" w:eastAsia="Times New Roman" w:hAnsi="Times New Roman" w:cs="Times New Roman"/>
                <w:sz w:val="24"/>
                <w:szCs w:val="24"/>
                <w:lang w:eastAsia="tr-TR"/>
              </w:rPr>
            </w:pPr>
            <w:r w:rsidRPr="00E75433">
              <w:rPr>
                <w:rFonts w:ascii="Times New Roman" w:eastAsia="Times New Roman" w:hAnsi="Times New Roman" w:cs="Times New Roman"/>
                <w:sz w:val="24"/>
                <w:szCs w:val="24"/>
                <w:lang w:eastAsia="tr-TR"/>
              </w:rPr>
              <w:t>Toplam Faaliyet Giderleri / Ortalama Portföy Değeri (%)</w:t>
            </w:r>
          </w:p>
        </w:tc>
        <w:tc>
          <w:tcPr>
            <w:tcW w:w="3079" w:type="dxa"/>
            <w:tcBorders>
              <w:top w:val="nil"/>
              <w:left w:val="nil"/>
              <w:bottom w:val="single" w:sz="8" w:space="0" w:color="auto"/>
              <w:right w:val="single" w:sz="8" w:space="0" w:color="auto"/>
            </w:tcBorders>
            <w:shd w:val="clear" w:color="auto" w:fill="auto"/>
            <w:noWrap/>
            <w:vAlign w:val="center"/>
            <w:hideMark/>
          </w:tcPr>
          <w:p w14:paraId="63611A70" w14:textId="77777777" w:rsidR="00E75433" w:rsidRPr="00E75433" w:rsidRDefault="00E75433" w:rsidP="00E75433">
            <w:pPr>
              <w:spacing w:after="0" w:line="240" w:lineRule="auto"/>
              <w:jc w:val="center"/>
              <w:rPr>
                <w:rFonts w:ascii="Times New Roman" w:eastAsia="Times New Roman" w:hAnsi="Times New Roman" w:cs="Times New Roman"/>
                <w:sz w:val="24"/>
                <w:szCs w:val="24"/>
                <w:lang w:eastAsia="tr-TR"/>
              </w:rPr>
            </w:pPr>
            <w:r w:rsidRPr="00E75433">
              <w:rPr>
                <w:rFonts w:ascii="Times New Roman" w:eastAsia="Times New Roman" w:hAnsi="Times New Roman" w:cs="Times New Roman"/>
                <w:sz w:val="24"/>
                <w:szCs w:val="24"/>
                <w:lang w:eastAsia="tr-TR"/>
              </w:rPr>
              <w:t>1.30</w:t>
            </w:r>
          </w:p>
        </w:tc>
      </w:tr>
    </w:tbl>
    <w:p w14:paraId="58529DCB" w14:textId="77777777" w:rsidR="00E75433" w:rsidRPr="00CD7F05" w:rsidRDefault="00E75433" w:rsidP="00E75433">
      <w:pPr>
        <w:pStyle w:val="ListeParagraf"/>
        <w:spacing w:after="0"/>
        <w:jc w:val="both"/>
        <w:rPr>
          <w:rFonts w:ascii="Times New Roman" w:hAnsi="Times New Roman" w:cs="Times New Roman"/>
          <w:sz w:val="24"/>
          <w:szCs w:val="24"/>
        </w:rPr>
      </w:pPr>
    </w:p>
    <w:p w14:paraId="3FC00C11" w14:textId="77777777" w:rsidR="00F0508E" w:rsidRDefault="00F0508E" w:rsidP="00CE6762">
      <w:pPr>
        <w:spacing w:after="0"/>
        <w:ind w:left="360"/>
        <w:rPr>
          <w:rFonts w:ascii="Times New Roman" w:hAnsi="Times New Roman" w:cs="Times New Roman"/>
          <w:sz w:val="24"/>
          <w:szCs w:val="24"/>
        </w:rPr>
      </w:pPr>
    </w:p>
    <w:p w14:paraId="7D1F0218" w14:textId="3C3E5E9A" w:rsidR="00A520CF" w:rsidRPr="00CD7F05" w:rsidRDefault="00CC7520" w:rsidP="00CE6762">
      <w:pPr>
        <w:spacing w:after="0"/>
        <w:ind w:left="360"/>
        <w:rPr>
          <w:rFonts w:ascii="Times New Roman" w:hAnsi="Times New Roman" w:cs="Times New Roman"/>
        </w:rPr>
      </w:pPr>
      <w:r w:rsidRPr="00CD7F05">
        <w:rPr>
          <w:rFonts w:ascii="Times New Roman" w:hAnsi="Times New Roman" w:cs="Times New Roman"/>
          <w:sz w:val="24"/>
          <w:szCs w:val="24"/>
        </w:rPr>
        <w:t xml:space="preserve"> </w:t>
      </w:r>
    </w:p>
    <w:p w14:paraId="48E2ACEA" w14:textId="2C1357E0" w:rsidR="00237C1F" w:rsidRPr="00CD7F05" w:rsidRDefault="00237C1F" w:rsidP="00CE6762">
      <w:pPr>
        <w:spacing w:after="0"/>
        <w:ind w:left="360"/>
        <w:rPr>
          <w:rFonts w:ascii="Times New Roman" w:hAnsi="Times New Roman" w:cs="Times New Roman"/>
        </w:rPr>
      </w:pPr>
    </w:p>
    <w:p w14:paraId="47763012" w14:textId="77777777" w:rsidR="00D34E03" w:rsidRPr="00CD7F05" w:rsidRDefault="00D34E03" w:rsidP="00CC7520">
      <w:pPr>
        <w:pStyle w:val="ListeParagraf"/>
        <w:spacing w:after="0"/>
        <w:rPr>
          <w:rFonts w:ascii="Times New Roman" w:hAnsi="Times New Roman" w:cs="Times New Roman"/>
          <w:sz w:val="24"/>
          <w:szCs w:val="24"/>
        </w:rPr>
      </w:pPr>
    </w:p>
    <w:p w14:paraId="3B093D03" w14:textId="32376C40" w:rsidR="00CC7520" w:rsidRPr="00CD7F05"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CD7F05">
        <w:rPr>
          <w:rFonts w:ascii="Times New Roman" w:hAnsi="Times New Roman" w:cs="Times New Roman"/>
          <w:sz w:val="24"/>
          <w:szCs w:val="24"/>
        </w:rPr>
        <w:t>P</w:t>
      </w:r>
      <w:r w:rsidR="00CC7520" w:rsidRPr="00CD7F05">
        <w:rPr>
          <w:rFonts w:ascii="Times New Roman" w:hAnsi="Times New Roman" w:cs="Times New Roman"/>
          <w:sz w:val="24"/>
          <w:szCs w:val="24"/>
        </w:rPr>
        <w:t>erformans sunum dönemi içinde eşik değerinde herhangi bir değişiklik yapılmamıştır.</w:t>
      </w:r>
    </w:p>
    <w:p w14:paraId="04B2DC02" w14:textId="77777777" w:rsidR="00CD7F05" w:rsidRPr="00CD7F05" w:rsidRDefault="00CD7F05" w:rsidP="00CD7F05">
      <w:pPr>
        <w:pStyle w:val="ListeParagraf"/>
        <w:spacing w:after="0"/>
        <w:jc w:val="both"/>
        <w:rPr>
          <w:rFonts w:ascii="Times New Roman" w:hAnsi="Times New Roman" w:cs="Times New Roman"/>
          <w:sz w:val="24"/>
          <w:szCs w:val="24"/>
        </w:rPr>
      </w:pPr>
    </w:p>
    <w:p w14:paraId="788872AE" w14:textId="77777777" w:rsidR="00D34E03" w:rsidRPr="00CD7F05"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Pr="00CD7F05"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sidRPr="00CD7F05">
        <w:rPr>
          <w:rFonts w:ascii="Times New Roman" w:hAnsi="Times New Roman" w:cs="Times New Roman"/>
          <w:b/>
          <w:bCs/>
          <w:sz w:val="24"/>
          <w:szCs w:val="24"/>
        </w:rPr>
        <w:t>a)</w:t>
      </w:r>
      <w:r w:rsidRPr="00CD7F05">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Pr="00CD7F05" w:rsidRDefault="00F42315" w:rsidP="00D34E03">
      <w:pPr>
        <w:pStyle w:val="ListeParagraf"/>
        <w:tabs>
          <w:tab w:val="left" w:pos="426"/>
          <w:tab w:val="left" w:pos="9356"/>
        </w:tabs>
        <w:jc w:val="both"/>
        <w:rPr>
          <w:rFonts w:ascii="Times New Roman" w:hAnsi="Times New Roman" w:cs="Times New Roman"/>
          <w:sz w:val="24"/>
          <w:szCs w:val="24"/>
        </w:rPr>
      </w:pPr>
      <w:r w:rsidRPr="00CD7F05">
        <w:rPr>
          <w:rFonts w:ascii="Times New Roman" w:hAnsi="Times New Roman" w:cs="Times New Roman"/>
          <w:b/>
          <w:bCs/>
          <w:sz w:val="24"/>
          <w:szCs w:val="24"/>
        </w:rPr>
        <w:t>b)</w:t>
      </w:r>
      <w:r w:rsidRPr="00CD7F05">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tevfikatına tabidir.</w:t>
      </w:r>
    </w:p>
    <w:p w14:paraId="265B7627" w14:textId="77777777" w:rsidR="00D34E03" w:rsidRPr="00CD7F05"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Pr="00CD7F05" w:rsidRDefault="00275FAF" w:rsidP="00275FAF">
      <w:pPr>
        <w:pStyle w:val="ListeParagraf"/>
        <w:numPr>
          <w:ilvl w:val="0"/>
          <w:numId w:val="1"/>
        </w:numPr>
        <w:spacing w:after="0"/>
        <w:rPr>
          <w:rFonts w:ascii="Times New Roman" w:hAnsi="Times New Roman" w:cs="Times New Roman"/>
          <w:b/>
          <w:sz w:val="24"/>
          <w:szCs w:val="24"/>
        </w:rPr>
      </w:pPr>
      <w:r w:rsidRPr="00CD7F05">
        <w:rPr>
          <w:rFonts w:ascii="Times New Roman" w:hAnsi="Times New Roman" w:cs="Times New Roman"/>
          <w:b/>
          <w:sz w:val="24"/>
          <w:szCs w:val="24"/>
        </w:rPr>
        <w:t>İLAVE BİLGİLER VE AÇIKLAMALAR</w:t>
      </w:r>
    </w:p>
    <w:p w14:paraId="0C5BD4F7" w14:textId="77777777" w:rsidR="00275FAF" w:rsidRPr="00CD7F05" w:rsidRDefault="00275FAF" w:rsidP="001B1C6E">
      <w:pPr>
        <w:spacing w:after="0"/>
        <w:ind w:left="360"/>
        <w:jc w:val="both"/>
        <w:rPr>
          <w:rFonts w:ascii="Times New Roman" w:hAnsi="Times New Roman" w:cs="Times New Roman"/>
          <w:b/>
          <w:sz w:val="24"/>
          <w:szCs w:val="24"/>
        </w:rPr>
      </w:pPr>
    </w:p>
    <w:p w14:paraId="3A05C685" w14:textId="696ECC11" w:rsidR="00275FAF" w:rsidRPr="00CD7F05" w:rsidRDefault="00275FAF" w:rsidP="00D42D4B">
      <w:pPr>
        <w:spacing w:after="0"/>
        <w:ind w:left="709" w:firstLine="567"/>
        <w:jc w:val="both"/>
        <w:rPr>
          <w:rFonts w:ascii="Times New Roman" w:hAnsi="Times New Roman" w:cs="Times New Roman"/>
          <w:b/>
          <w:sz w:val="24"/>
          <w:szCs w:val="24"/>
        </w:rPr>
      </w:pPr>
      <w:r w:rsidRPr="00CD7F05">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CD7F05">
        <w:rPr>
          <w:rFonts w:ascii="Times New Roman" w:hAnsi="Times New Roman" w:cs="Times New Roman"/>
          <w:sz w:val="24"/>
          <w:szCs w:val="24"/>
        </w:rPr>
        <w:t>)” inin</w:t>
      </w:r>
      <w:r w:rsidRPr="00CD7F05">
        <w:rPr>
          <w:rFonts w:ascii="Times New Roman" w:hAnsi="Times New Roman" w:cs="Times New Roman"/>
          <w:sz w:val="24"/>
          <w:szCs w:val="24"/>
        </w:rPr>
        <w:t xml:space="preserve"> (“Tebliğ”) hükümleri doğrultusunda hazırlanmıştır.</w:t>
      </w:r>
    </w:p>
    <w:p w14:paraId="0A9DBE67" w14:textId="77777777" w:rsidR="0041052D" w:rsidRPr="00CD7F05" w:rsidRDefault="0041052D" w:rsidP="00D42D4B">
      <w:pPr>
        <w:pStyle w:val="ListeParagraf"/>
        <w:spacing w:after="0"/>
        <w:ind w:left="709" w:firstLine="567"/>
        <w:jc w:val="both"/>
        <w:rPr>
          <w:rFonts w:ascii="Times New Roman" w:hAnsi="Times New Roman" w:cs="Times New Roman"/>
          <w:b/>
          <w:sz w:val="24"/>
          <w:szCs w:val="24"/>
        </w:rPr>
      </w:pPr>
    </w:p>
    <w:p w14:paraId="609E1FFA" w14:textId="35A1C1CC" w:rsidR="00275FAF" w:rsidRPr="00CD7F05" w:rsidRDefault="00275FAF" w:rsidP="00D42D4B">
      <w:pPr>
        <w:spacing w:after="0"/>
        <w:ind w:left="709" w:firstLine="567"/>
        <w:jc w:val="both"/>
        <w:rPr>
          <w:rFonts w:ascii="Times New Roman" w:hAnsi="Times New Roman" w:cs="Times New Roman"/>
          <w:sz w:val="24"/>
          <w:szCs w:val="24"/>
        </w:rPr>
      </w:pPr>
      <w:r w:rsidRPr="00CD7F05">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CD7F05">
        <w:rPr>
          <w:rFonts w:ascii="Times New Roman" w:hAnsi="Times New Roman" w:cs="Times New Roman"/>
          <w:sz w:val="24"/>
          <w:szCs w:val="24"/>
        </w:rPr>
        <w:t xml:space="preserve"> maruz kalabileceği riskler aşağıdaki gibidir:</w:t>
      </w:r>
    </w:p>
    <w:p w14:paraId="25B51F46" w14:textId="77777777" w:rsidR="00CD7F05" w:rsidRPr="00CD7F05" w:rsidRDefault="00CD7F05" w:rsidP="00CD7F05">
      <w:pPr>
        <w:pStyle w:val="GvdeMetni"/>
        <w:spacing w:before="9"/>
        <w:jc w:val="both"/>
        <w:rPr>
          <w:b/>
        </w:rPr>
      </w:pPr>
    </w:p>
    <w:p w14:paraId="307D92DA" w14:textId="77777777" w:rsidR="00CD7F05" w:rsidRPr="00CD7F05" w:rsidRDefault="00CD7F05" w:rsidP="00CD7F05">
      <w:pPr>
        <w:widowControl w:val="0"/>
        <w:numPr>
          <w:ilvl w:val="0"/>
          <w:numId w:val="11"/>
        </w:numPr>
        <w:tabs>
          <w:tab w:val="left" w:pos="567"/>
        </w:tabs>
        <w:autoSpaceDE w:val="0"/>
        <w:autoSpaceDN w:val="0"/>
        <w:spacing w:after="0" w:line="242" w:lineRule="auto"/>
        <w:ind w:right="508" w:firstLine="67"/>
        <w:jc w:val="both"/>
        <w:rPr>
          <w:rFonts w:ascii="Times New Roman" w:hAnsi="Times New Roman" w:cs="Times New Roman"/>
          <w:sz w:val="24"/>
          <w:szCs w:val="24"/>
        </w:rPr>
      </w:pPr>
      <w:r w:rsidRPr="00CD7F05">
        <w:rPr>
          <w:rFonts w:ascii="Times New Roman" w:hAnsi="Times New Roman" w:cs="Times New Roman"/>
          <w:b/>
          <w:sz w:val="24"/>
          <w:szCs w:val="24"/>
        </w:rPr>
        <w:t xml:space="preserve">Piyasa Riski: </w:t>
      </w:r>
      <w:r w:rsidRPr="00CD7F05">
        <w:rPr>
          <w:rFonts w:ascii="Times New Roman" w:hAnsi="Times New Roman" w:cs="Times New Roman"/>
          <w:sz w:val="24"/>
          <w:szCs w:val="24"/>
        </w:rPr>
        <w:t>Piyasa riski ile borçlanmayı temsil eden finansal araçların, ortaklık paylarının, diğer menkul kıymetlerin değerinde, faiz oranları, ortaklık payı fiyatlarındaki dalgalanmalar nedeniyle meydana gelebilecek zarar riski ifade edilmektedir. Söz konusu risklerin detaylarına aşağıda yer</w:t>
      </w:r>
      <w:r w:rsidRPr="00CD7F05">
        <w:rPr>
          <w:rFonts w:ascii="Times New Roman" w:hAnsi="Times New Roman" w:cs="Times New Roman"/>
          <w:spacing w:val="-3"/>
          <w:sz w:val="24"/>
          <w:szCs w:val="24"/>
        </w:rPr>
        <w:t xml:space="preserve"> </w:t>
      </w:r>
      <w:r w:rsidRPr="00CD7F05">
        <w:rPr>
          <w:rFonts w:ascii="Times New Roman" w:hAnsi="Times New Roman" w:cs="Times New Roman"/>
          <w:sz w:val="24"/>
          <w:szCs w:val="24"/>
        </w:rPr>
        <w:t>verilmektedir:</w:t>
      </w:r>
    </w:p>
    <w:p w14:paraId="5C77878A" w14:textId="77777777" w:rsidR="00CD7F05" w:rsidRPr="00CD7F05" w:rsidRDefault="00CD7F05" w:rsidP="00CD7F05">
      <w:pPr>
        <w:tabs>
          <w:tab w:val="left" w:pos="709"/>
        </w:tabs>
        <w:spacing w:before="10"/>
        <w:ind w:firstLine="209"/>
        <w:jc w:val="both"/>
        <w:rPr>
          <w:rFonts w:ascii="Times New Roman" w:hAnsi="Times New Roman" w:cs="Times New Roman"/>
          <w:sz w:val="24"/>
          <w:szCs w:val="24"/>
        </w:rPr>
      </w:pPr>
    </w:p>
    <w:p w14:paraId="7097AADF" w14:textId="77777777" w:rsidR="00CD7F05" w:rsidRPr="00CD7F05" w:rsidRDefault="00CD7F05" w:rsidP="00CD7F05">
      <w:pPr>
        <w:widowControl w:val="0"/>
        <w:numPr>
          <w:ilvl w:val="0"/>
          <w:numId w:val="10"/>
        </w:numPr>
        <w:tabs>
          <w:tab w:val="left" w:pos="709"/>
          <w:tab w:val="left" w:pos="1181"/>
        </w:tabs>
        <w:autoSpaceDE w:val="0"/>
        <w:autoSpaceDN w:val="0"/>
        <w:spacing w:before="1" w:after="0" w:line="244" w:lineRule="auto"/>
        <w:ind w:left="709" w:right="508" w:hanging="425"/>
        <w:jc w:val="both"/>
        <w:rPr>
          <w:rFonts w:ascii="Times New Roman" w:hAnsi="Times New Roman" w:cs="Times New Roman"/>
          <w:sz w:val="24"/>
          <w:szCs w:val="24"/>
        </w:rPr>
      </w:pPr>
      <w:r w:rsidRPr="00CD7F05">
        <w:rPr>
          <w:rFonts w:ascii="Times New Roman" w:hAnsi="Times New Roman" w:cs="Times New Roman"/>
          <w:b/>
          <w:bCs/>
          <w:sz w:val="24"/>
          <w:szCs w:val="24"/>
        </w:rPr>
        <w:t xml:space="preserve">Faiz Oranı Riski: </w:t>
      </w:r>
      <w:r w:rsidRPr="00CD7F05">
        <w:rPr>
          <w:rFonts w:ascii="Times New Roman" w:hAnsi="Times New Roman" w:cs="Times New Roman"/>
          <w:sz w:val="24"/>
          <w:szCs w:val="24"/>
        </w:rPr>
        <w:t>Fon portföyüne faize dayalı varlıkların (borçlanma aracı, ters repo vb) dahil edilmesi halinde, söz konusu varlıkların değerinde piyasalarda yaşanabilecek faiz oranları değişimleri nedeniyle oluşan riski ifade eder.</w:t>
      </w:r>
    </w:p>
    <w:p w14:paraId="058322E1" w14:textId="77777777" w:rsidR="00CD7F05" w:rsidRPr="00CD7F05" w:rsidRDefault="00CD7F05" w:rsidP="00CD7F05">
      <w:pPr>
        <w:tabs>
          <w:tab w:val="left" w:pos="709"/>
          <w:tab w:val="left" w:pos="1168"/>
        </w:tabs>
        <w:spacing w:before="1" w:line="244" w:lineRule="auto"/>
        <w:ind w:left="709" w:right="508"/>
        <w:jc w:val="both"/>
        <w:rPr>
          <w:rFonts w:ascii="Times New Roman" w:hAnsi="Times New Roman" w:cs="Times New Roman"/>
          <w:b/>
          <w:bCs/>
          <w:sz w:val="24"/>
          <w:szCs w:val="24"/>
        </w:rPr>
      </w:pPr>
    </w:p>
    <w:p w14:paraId="12DDBA94" w14:textId="77777777" w:rsidR="00CD7F05" w:rsidRPr="00CD7F05" w:rsidRDefault="00CD7F05" w:rsidP="00CD7F05">
      <w:pPr>
        <w:widowControl w:val="0"/>
        <w:numPr>
          <w:ilvl w:val="0"/>
          <w:numId w:val="10"/>
        </w:numPr>
        <w:tabs>
          <w:tab w:val="left" w:pos="709"/>
          <w:tab w:val="left" w:pos="1168"/>
        </w:tabs>
        <w:autoSpaceDE w:val="0"/>
        <w:autoSpaceDN w:val="0"/>
        <w:spacing w:before="1" w:after="0" w:line="244" w:lineRule="auto"/>
        <w:ind w:left="709" w:right="508" w:hanging="425"/>
        <w:jc w:val="both"/>
        <w:rPr>
          <w:rFonts w:ascii="Times New Roman" w:hAnsi="Times New Roman" w:cs="Times New Roman"/>
          <w:sz w:val="24"/>
          <w:szCs w:val="24"/>
        </w:rPr>
      </w:pPr>
      <w:r w:rsidRPr="00CD7F05">
        <w:rPr>
          <w:rFonts w:ascii="Times New Roman" w:hAnsi="Times New Roman" w:cs="Times New Roman"/>
          <w:b/>
          <w:bCs/>
          <w:sz w:val="24"/>
          <w:szCs w:val="24"/>
        </w:rPr>
        <w:t xml:space="preserve">Ortaklık Payı Fiyat Riski: </w:t>
      </w:r>
      <w:r w:rsidRPr="00CD7F05">
        <w:rPr>
          <w:rFonts w:ascii="Times New Roman" w:hAnsi="Times New Roman" w:cs="Times New Roman"/>
          <w:sz w:val="24"/>
          <w:szCs w:val="24"/>
        </w:rPr>
        <w:t>Fon portföyüne ortaklık payı dahil edilmesi halinde, Fon portföyünde bulunan ortaklık paylarının fiyatlarında meydana gelebilecek değişiklikler nedeniyle portföyün maruz kalacağı zarar olasılığını ifade etmektedir.</w:t>
      </w:r>
    </w:p>
    <w:p w14:paraId="5F4B7304" w14:textId="77777777" w:rsidR="00CD7F05" w:rsidRPr="00CD7F05" w:rsidRDefault="00CD7F05" w:rsidP="00CD7F05">
      <w:pPr>
        <w:tabs>
          <w:tab w:val="left" w:pos="709"/>
          <w:tab w:val="left" w:pos="1168"/>
        </w:tabs>
        <w:spacing w:before="1" w:line="244" w:lineRule="auto"/>
        <w:ind w:left="709" w:right="508"/>
        <w:jc w:val="both"/>
        <w:rPr>
          <w:rFonts w:ascii="Times New Roman" w:hAnsi="Times New Roman" w:cs="Times New Roman"/>
          <w:b/>
          <w:bCs/>
          <w:sz w:val="24"/>
          <w:szCs w:val="24"/>
        </w:rPr>
      </w:pPr>
    </w:p>
    <w:p w14:paraId="6C884395" w14:textId="77777777" w:rsidR="00CD7F05" w:rsidRPr="00CD7F05" w:rsidRDefault="00CD7F05" w:rsidP="00CD7F05">
      <w:pPr>
        <w:widowControl w:val="0"/>
        <w:numPr>
          <w:ilvl w:val="0"/>
          <w:numId w:val="10"/>
        </w:numPr>
        <w:tabs>
          <w:tab w:val="left" w:pos="709"/>
          <w:tab w:val="left" w:pos="1168"/>
        </w:tabs>
        <w:autoSpaceDE w:val="0"/>
        <w:autoSpaceDN w:val="0"/>
        <w:spacing w:before="1" w:after="0" w:line="244" w:lineRule="auto"/>
        <w:ind w:left="709" w:right="508" w:hanging="425"/>
        <w:jc w:val="both"/>
        <w:rPr>
          <w:rFonts w:ascii="Times New Roman" w:hAnsi="Times New Roman" w:cs="Times New Roman"/>
          <w:sz w:val="24"/>
          <w:szCs w:val="24"/>
        </w:rPr>
      </w:pPr>
      <w:r w:rsidRPr="00CD7F05">
        <w:rPr>
          <w:rFonts w:ascii="Times New Roman" w:hAnsi="Times New Roman" w:cs="Times New Roman"/>
          <w:b/>
          <w:bCs/>
          <w:sz w:val="24"/>
          <w:szCs w:val="24"/>
        </w:rPr>
        <w:t xml:space="preserve">Kâr Payı Oranı Riski: </w:t>
      </w:r>
      <w:r w:rsidRPr="00CD7F05">
        <w:rPr>
          <w:rFonts w:ascii="Times New Roman" w:hAnsi="Times New Roman" w:cs="Times New Roman"/>
          <w:sz w:val="24"/>
          <w:szCs w:val="24"/>
        </w:rPr>
        <w:t>Fon portföyüne kira sertifikası ve katılma hesabı dahil edilmesi halinde söz konusu ürünlerin sağlayacağı kira/kâr payı oranlarında yaşanabilecek dalgalanmalar nedeniyle oluşan riski ifade eder.</w:t>
      </w:r>
    </w:p>
    <w:p w14:paraId="429590E2" w14:textId="77777777" w:rsidR="00CD7F05" w:rsidRPr="00CD7F05" w:rsidRDefault="00CD7F05" w:rsidP="00CD7F05">
      <w:pPr>
        <w:tabs>
          <w:tab w:val="left" w:pos="709"/>
          <w:tab w:val="left" w:pos="1168"/>
        </w:tabs>
        <w:spacing w:before="1" w:line="244" w:lineRule="auto"/>
        <w:ind w:left="709" w:right="508"/>
        <w:jc w:val="both"/>
        <w:rPr>
          <w:rFonts w:ascii="Times New Roman" w:hAnsi="Times New Roman" w:cs="Times New Roman"/>
          <w:sz w:val="24"/>
          <w:szCs w:val="24"/>
        </w:rPr>
      </w:pPr>
    </w:p>
    <w:p w14:paraId="7EE3FB59" w14:textId="77777777" w:rsidR="00CD7F05" w:rsidRPr="00CD7F05" w:rsidRDefault="00CD7F05" w:rsidP="00CD7F05">
      <w:pPr>
        <w:widowControl w:val="0"/>
        <w:numPr>
          <w:ilvl w:val="0"/>
          <w:numId w:val="11"/>
        </w:numPr>
        <w:tabs>
          <w:tab w:val="left" w:pos="567"/>
        </w:tabs>
        <w:autoSpaceDE w:val="0"/>
        <w:autoSpaceDN w:val="0"/>
        <w:spacing w:after="0" w:line="242" w:lineRule="auto"/>
        <w:ind w:right="508" w:firstLine="67"/>
        <w:jc w:val="both"/>
        <w:rPr>
          <w:rFonts w:ascii="Times New Roman" w:hAnsi="Times New Roman" w:cs="Times New Roman"/>
          <w:sz w:val="24"/>
          <w:szCs w:val="24"/>
        </w:rPr>
      </w:pPr>
      <w:r w:rsidRPr="00CD7F05">
        <w:rPr>
          <w:rFonts w:ascii="Times New Roman" w:hAnsi="Times New Roman" w:cs="Times New Roman"/>
          <w:b/>
          <w:sz w:val="24"/>
          <w:szCs w:val="24"/>
        </w:rPr>
        <w:lastRenderedPageBreak/>
        <w:t xml:space="preserve">Karşı Taraf Riski: </w:t>
      </w:r>
      <w:r w:rsidRPr="00CD7F05">
        <w:rPr>
          <w:rFonts w:ascii="Times New Roman" w:hAnsi="Times New Roman" w:cs="Times New Roman"/>
          <w:sz w:val="24"/>
          <w:szCs w:val="24"/>
        </w:rPr>
        <w:t>Karşı tarafın sözleşmeden kaynaklanan yükümlülüklerini yerine getirmek istememesi ve/veya yerine getirememesi veya takas işlemlerinde ortaya çıkan aksaklıklar sonucunda ödemenin yapılamaması riskini ifade</w:t>
      </w:r>
      <w:r w:rsidRPr="00CD7F05">
        <w:rPr>
          <w:rFonts w:ascii="Times New Roman" w:hAnsi="Times New Roman" w:cs="Times New Roman"/>
          <w:spacing w:val="12"/>
          <w:sz w:val="24"/>
          <w:szCs w:val="24"/>
        </w:rPr>
        <w:t xml:space="preserve"> </w:t>
      </w:r>
      <w:r w:rsidRPr="00CD7F05">
        <w:rPr>
          <w:rFonts w:ascii="Times New Roman" w:hAnsi="Times New Roman" w:cs="Times New Roman"/>
          <w:sz w:val="24"/>
          <w:szCs w:val="24"/>
        </w:rPr>
        <w:t>etmektedir.</w:t>
      </w:r>
    </w:p>
    <w:p w14:paraId="0B2E8FF4" w14:textId="77777777" w:rsidR="00CD7F05" w:rsidRPr="00CD7F05" w:rsidRDefault="00CD7F05" w:rsidP="00CD7F05">
      <w:pPr>
        <w:spacing w:before="7"/>
        <w:jc w:val="both"/>
        <w:rPr>
          <w:rFonts w:ascii="Times New Roman" w:hAnsi="Times New Roman" w:cs="Times New Roman"/>
          <w:sz w:val="24"/>
          <w:szCs w:val="24"/>
        </w:rPr>
      </w:pPr>
    </w:p>
    <w:p w14:paraId="1455389E" w14:textId="77777777" w:rsidR="00CD7F05" w:rsidRPr="00CD7F05" w:rsidRDefault="00CD7F05" w:rsidP="00CD7F05">
      <w:pPr>
        <w:widowControl w:val="0"/>
        <w:numPr>
          <w:ilvl w:val="0"/>
          <w:numId w:val="11"/>
        </w:numPr>
        <w:tabs>
          <w:tab w:val="left" w:pos="567"/>
        </w:tabs>
        <w:autoSpaceDE w:val="0"/>
        <w:autoSpaceDN w:val="0"/>
        <w:spacing w:after="0" w:line="242" w:lineRule="auto"/>
        <w:ind w:right="508" w:firstLine="67"/>
        <w:jc w:val="both"/>
        <w:rPr>
          <w:rFonts w:ascii="Times New Roman" w:hAnsi="Times New Roman" w:cs="Times New Roman"/>
          <w:sz w:val="24"/>
          <w:szCs w:val="24"/>
        </w:rPr>
      </w:pPr>
      <w:r w:rsidRPr="00CD7F05">
        <w:rPr>
          <w:rFonts w:ascii="Times New Roman" w:hAnsi="Times New Roman" w:cs="Times New Roman"/>
          <w:b/>
          <w:sz w:val="24"/>
          <w:szCs w:val="24"/>
        </w:rPr>
        <w:t xml:space="preserve">Likidite Riski: </w:t>
      </w:r>
      <w:r w:rsidRPr="00CD7F05">
        <w:rPr>
          <w:rFonts w:ascii="Times New Roman" w:hAnsi="Times New Roman" w:cs="Times New Roman"/>
          <w:sz w:val="24"/>
          <w:szCs w:val="24"/>
        </w:rPr>
        <w:t>Fon portföyünde bulunan finansal varlıkların istenildiği anda piyasa fiyatından nakde dönüştürülememesi halinde ortaya çıkan zarar</w:t>
      </w:r>
      <w:r w:rsidRPr="00CD7F05">
        <w:rPr>
          <w:rFonts w:ascii="Times New Roman" w:hAnsi="Times New Roman" w:cs="Times New Roman"/>
          <w:spacing w:val="8"/>
          <w:sz w:val="24"/>
          <w:szCs w:val="24"/>
        </w:rPr>
        <w:t xml:space="preserve"> </w:t>
      </w:r>
      <w:r w:rsidRPr="00CD7F05">
        <w:rPr>
          <w:rFonts w:ascii="Times New Roman" w:hAnsi="Times New Roman" w:cs="Times New Roman"/>
          <w:sz w:val="24"/>
          <w:szCs w:val="24"/>
        </w:rPr>
        <w:t>olasılığıdır.</w:t>
      </w:r>
    </w:p>
    <w:p w14:paraId="2469C8FC" w14:textId="77777777" w:rsidR="00CD7F05" w:rsidRPr="00CD7F05" w:rsidRDefault="00CD7F05" w:rsidP="00CD7F05">
      <w:pPr>
        <w:spacing w:before="3"/>
        <w:jc w:val="both"/>
        <w:rPr>
          <w:rFonts w:ascii="Times New Roman" w:hAnsi="Times New Roman" w:cs="Times New Roman"/>
          <w:sz w:val="24"/>
          <w:szCs w:val="24"/>
        </w:rPr>
      </w:pPr>
    </w:p>
    <w:p w14:paraId="09503F3F" w14:textId="77777777" w:rsidR="00CD7F05" w:rsidRPr="00CD7F05" w:rsidRDefault="00CD7F05" w:rsidP="00CD7F05">
      <w:pPr>
        <w:widowControl w:val="0"/>
        <w:numPr>
          <w:ilvl w:val="0"/>
          <w:numId w:val="11"/>
        </w:numPr>
        <w:tabs>
          <w:tab w:val="left" w:pos="567"/>
        </w:tabs>
        <w:autoSpaceDE w:val="0"/>
        <w:autoSpaceDN w:val="0"/>
        <w:spacing w:after="0" w:line="242" w:lineRule="auto"/>
        <w:ind w:right="508" w:firstLine="67"/>
        <w:jc w:val="both"/>
        <w:rPr>
          <w:rFonts w:ascii="Times New Roman" w:hAnsi="Times New Roman" w:cs="Times New Roman"/>
          <w:sz w:val="24"/>
          <w:szCs w:val="24"/>
        </w:rPr>
      </w:pPr>
      <w:r w:rsidRPr="00CD7F05">
        <w:rPr>
          <w:rFonts w:ascii="Times New Roman" w:hAnsi="Times New Roman" w:cs="Times New Roman"/>
          <w:b/>
          <w:sz w:val="24"/>
          <w:szCs w:val="24"/>
        </w:rPr>
        <w:t xml:space="preserve">Kaldıraç Yaratan İşlem Riski: </w:t>
      </w:r>
      <w:r w:rsidRPr="00CD7F05">
        <w:rPr>
          <w:rFonts w:ascii="Times New Roman" w:hAnsi="Times New Roman" w:cs="Times New Roman"/>
          <w:sz w:val="24"/>
          <w:szCs w:val="24"/>
        </w:rPr>
        <w:t>Fon portföyüne türev araç (vadeli işlem ve opsiyon sözleşmeleri), saklı türev araç, swap sözleşmesi, varant, sertifika dahil edilmesi, ileri valörlü tahvil/bono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w:t>
      </w:r>
      <w:r w:rsidRPr="00CD7F05">
        <w:rPr>
          <w:rFonts w:ascii="Times New Roman" w:hAnsi="Times New Roman" w:cs="Times New Roman"/>
          <w:spacing w:val="3"/>
          <w:sz w:val="24"/>
          <w:szCs w:val="24"/>
        </w:rPr>
        <w:t xml:space="preserve"> </w:t>
      </w:r>
      <w:r w:rsidRPr="00CD7F05">
        <w:rPr>
          <w:rFonts w:ascii="Times New Roman" w:hAnsi="Times New Roman" w:cs="Times New Roman"/>
          <w:sz w:val="24"/>
          <w:szCs w:val="24"/>
        </w:rPr>
        <w:t>eder.</w:t>
      </w:r>
    </w:p>
    <w:p w14:paraId="6697033D" w14:textId="77777777" w:rsidR="00CD7F05" w:rsidRPr="00CD7F05" w:rsidRDefault="00CD7F05" w:rsidP="00CD7F05">
      <w:pPr>
        <w:tabs>
          <w:tab w:val="left" w:pos="1200"/>
        </w:tabs>
        <w:spacing w:line="244" w:lineRule="auto"/>
        <w:ind w:left="217" w:right="509"/>
        <w:jc w:val="both"/>
        <w:rPr>
          <w:rFonts w:ascii="Times New Roman" w:hAnsi="Times New Roman" w:cs="Times New Roman"/>
          <w:sz w:val="24"/>
          <w:szCs w:val="24"/>
        </w:rPr>
      </w:pPr>
    </w:p>
    <w:p w14:paraId="4A643392" w14:textId="77777777" w:rsidR="00CD7F05" w:rsidRPr="00CD7F05" w:rsidRDefault="00CD7F05" w:rsidP="00CD7F05">
      <w:pPr>
        <w:widowControl w:val="0"/>
        <w:numPr>
          <w:ilvl w:val="0"/>
          <w:numId w:val="11"/>
        </w:numPr>
        <w:tabs>
          <w:tab w:val="left" w:pos="567"/>
        </w:tabs>
        <w:autoSpaceDE w:val="0"/>
        <w:autoSpaceDN w:val="0"/>
        <w:spacing w:after="0" w:line="242" w:lineRule="auto"/>
        <w:ind w:right="508" w:firstLine="67"/>
        <w:jc w:val="both"/>
        <w:rPr>
          <w:rFonts w:ascii="Times New Roman" w:hAnsi="Times New Roman" w:cs="Times New Roman"/>
          <w:sz w:val="24"/>
          <w:szCs w:val="24"/>
        </w:rPr>
      </w:pPr>
      <w:r w:rsidRPr="00CD7F05">
        <w:rPr>
          <w:rFonts w:ascii="Times New Roman" w:hAnsi="Times New Roman" w:cs="Times New Roman"/>
          <w:b/>
          <w:sz w:val="24"/>
          <w:szCs w:val="24"/>
        </w:rPr>
        <w:t>Operasyonel Risk</w:t>
      </w:r>
      <w:r w:rsidRPr="00CD7F05">
        <w:rPr>
          <w:rFonts w:ascii="Times New Roman" w:hAnsi="Times New Roman" w:cs="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w:t>
      </w:r>
      <w:r w:rsidRPr="00CD7F05">
        <w:rPr>
          <w:rFonts w:ascii="Times New Roman" w:hAnsi="Times New Roman" w:cs="Times New Roman"/>
          <w:spacing w:val="-4"/>
          <w:sz w:val="24"/>
          <w:szCs w:val="24"/>
        </w:rPr>
        <w:t xml:space="preserve"> </w:t>
      </w:r>
      <w:r w:rsidRPr="00CD7F05">
        <w:rPr>
          <w:rFonts w:ascii="Times New Roman" w:hAnsi="Times New Roman" w:cs="Times New Roman"/>
          <w:sz w:val="24"/>
          <w:szCs w:val="24"/>
        </w:rPr>
        <w:t>olabilir.</w:t>
      </w:r>
    </w:p>
    <w:p w14:paraId="011B3DE9" w14:textId="77777777" w:rsidR="00CD7F05" w:rsidRPr="00CD7F05" w:rsidRDefault="00CD7F05" w:rsidP="00CD7F05">
      <w:pPr>
        <w:spacing w:before="10"/>
        <w:jc w:val="both"/>
        <w:rPr>
          <w:rFonts w:ascii="Times New Roman" w:hAnsi="Times New Roman" w:cs="Times New Roman"/>
          <w:sz w:val="24"/>
          <w:szCs w:val="24"/>
        </w:rPr>
      </w:pPr>
    </w:p>
    <w:p w14:paraId="0D22CD45" w14:textId="77777777" w:rsidR="00CD7F05" w:rsidRPr="00CD7F05" w:rsidRDefault="00CD7F05" w:rsidP="00CD7F05">
      <w:pPr>
        <w:widowControl w:val="0"/>
        <w:numPr>
          <w:ilvl w:val="0"/>
          <w:numId w:val="11"/>
        </w:numPr>
        <w:tabs>
          <w:tab w:val="left" w:pos="567"/>
        </w:tabs>
        <w:autoSpaceDE w:val="0"/>
        <w:autoSpaceDN w:val="0"/>
        <w:spacing w:after="0" w:line="242" w:lineRule="auto"/>
        <w:ind w:right="508" w:firstLine="67"/>
        <w:jc w:val="both"/>
        <w:rPr>
          <w:rFonts w:ascii="Times New Roman" w:hAnsi="Times New Roman" w:cs="Times New Roman"/>
          <w:sz w:val="24"/>
          <w:szCs w:val="24"/>
        </w:rPr>
      </w:pPr>
      <w:r w:rsidRPr="00CD7F05">
        <w:rPr>
          <w:rFonts w:ascii="Times New Roman" w:hAnsi="Times New Roman" w:cs="Times New Roman"/>
          <w:b/>
          <w:sz w:val="24"/>
          <w:szCs w:val="24"/>
        </w:rPr>
        <w:t xml:space="preserve">Yoğunlaşma Riski: </w:t>
      </w:r>
      <w:r w:rsidRPr="00CD7F05">
        <w:rPr>
          <w:rFonts w:ascii="Times New Roman" w:hAnsi="Times New Roman" w:cs="Times New Roman"/>
          <w:sz w:val="24"/>
          <w:szCs w:val="24"/>
        </w:rPr>
        <w:t>Belli bir varlığa ve/veya vadeye yoğun yatırım yapılması sonucu fonun bu varlığın ve vadenin içerdiği risklere maruz</w:t>
      </w:r>
      <w:r w:rsidRPr="00CD7F05">
        <w:rPr>
          <w:rFonts w:ascii="Times New Roman" w:hAnsi="Times New Roman" w:cs="Times New Roman"/>
          <w:spacing w:val="6"/>
          <w:sz w:val="24"/>
          <w:szCs w:val="24"/>
        </w:rPr>
        <w:t xml:space="preserve"> </w:t>
      </w:r>
      <w:r w:rsidRPr="00CD7F05">
        <w:rPr>
          <w:rFonts w:ascii="Times New Roman" w:hAnsi="Times New Roman" w:cs="Times New Roman"/>
          <w:sz w:val="24"/>
          <w:szCs w:val="24"/>
        </w:rPr>
        <w:t>kalmasıdır.</w:t>
      </w:r>
    </w:p>
    <w:p w14:paraId="0B297755" w14:textId="77777777" w:rsidR="00CD7F05" w:rsidRPr="00CD7F05" w:rsidRDefault="00CD7F05" w:rsidP="00CD7F05">
      <w:pPr>
        <w:spacing w:before="2"/>
        <w:jc w:val="both"/>
        <w:rPr>
          <w:rFonts w:ascii="Times New Roman" w:hAnsi="Times New Roman" w:cs="Times New Roman"/>
          <w:sz w:val="24"/>
          <w:szCs w:val="24"/>
        </w:rPr>
      </w:pPr>
    </w:p>
    <w:p w14:paraId="50D3BDC0" w14:textId="77777777" w:rsidR="00CD7F05" w:rsidRPr="00CD7F05" w:rsidRDefault="00CD7F05" w:rsidP="00CD7F05">
      <w:pPr>
        <w:widowControl w:val="0"/>
        <w:numPr>
          <w:ilvl w:val="0"/>
          <w:numId w:val="11"/>
        </w:numPr>
        <w:tabs>
          <w:tab w:val="left" w:pos="567"/>
        </w:tabs>
        <w:autoSpaceDE w:val="0"/>
        <w:autoSpaceDN w:val="0"/>
        <w:spacing w:after="0" w:line="242" w:lineRule="auto"/>
        <w:ind w:right="508" w:firstLine="67"/>
        <w:jc w:val="both"/>
        <w:rPr>
          <w:rFonts w:ascii="Times New Roman" w:hAnsi="Times New Roman" w:cs="Times New Roman"/>
          <w:sz w:val="24"/>
          <w:szCs w:val="24"/>
        </w:rPr>
      </w:pPr>
      <w:r w:rsidRPr="00CD7F05">
        <w:rPr>
          <w:rFonts w:ascii="Times New Roman" w:hAnsi="Times New Roman" w:cs="Times New Roman"/>
          <w:b/>
          <w:sz w:val="24"/>
          <w:szCs w:val="24"/>
        </w:rPr>
        <w:t xml:space="preserve">Korelasyon Riski: </w:t>
      </w:r>
      <w:r w:rsidRPr="00CD7F05">
        <w:rPr>
          <w:rFonts w:ascii="Times New Roman" w:hAnsi="Times New Roman" w:cs="Times New Roman"/>
          <w:sz w:val="24"/>
          <w:szCs w:val="24"/>
        </w:rPr>
        <w:t>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662343FB" w14:textId="77777777" w:rsidR="00CD7F05" w:rsidRPr="00CD7F05" w:rsidRDefault="00CD7F05" w:rsidP="00CD7F05">
      <w:pPr>
        <w:spacing w:before="1"/>
        <w:jc w:val="both"/>
        <w:rPr>
          <w:rFonts w:ascii="Times New Roman" w:hAnsi="Times New Roman" w:cs="Times New Roman"/>
          <w:sz w:val="24"/>
          <w:szCs w:val="24"/>
        </w:rPr>
      </w:pPr>
    </w:p>
    <w:p w14:paraId="71F3D271" w14:textId="77777777" w:rsidR="00CD7F05" w:rsidRPr="00CD7F05" w:rsidRDefault="00CD7F05" w:rsidP="00CD7F05">
      <w:pPr>
        <w:widowControl w:val="0"/>
        <w:numPr>
          <w:ilvl w:val="0"/>
          <w:numId w:val="11"/>
        </w:numPr>
        <w:tabs>
          <w:tab w:val="left" w:pos="567"/>
        </w:tabs>
        <w:autoSpaceDE w:val="0"/>
        <w:autoSpaceDN w:val="0"/>
        <w:spacing w:after="0" w:line="242" w:lineRule="auto"/>
        <w:ind w:right="508" w:firstLine="67"/>
        <w:jc w:val="both"/>
        <w:rPr>
          <w:rFonts w:ascii="Times New Roman" w:hAnsi="Times New Roman" w:cs="Times New Roman"/>
          <w:sz w:val="24"/>
          <w:szCs w:val="24"/>
        </w:rPr>
      </w:pPr>
      <w:r w:rsidRPr="00CD7F05">
        <w:rPr>
          <w:rFonts w:ascii="Times New Roman" w:hAnsi="Times New Roman" w:cs="Times New Roman"/>
          <w:b/>
          <w:sz w:val="23"/>
        </w:rPr>
        <w:t xml:space="preserve">Yasal Risk: </w:t>
      </w:r>
      <w:r w:rsidRPr="00CD7F05">
        <w:rPr>
          <w:rFonts w:ascii="Times New Roman" w:hAnsi="Times New Roman" w:cs="Times New Roman"/>
          <w:sz w:val="24"/>
          <w:szCs w:val="24"/>
        </w:rPr>
        <w:t>Fonun halka arz edildiği dönemden sonra mevzuatta ve düzenleyici otoritelerin düzenlemelerinde meydana gelebilecek değişiklerden olumsuz etkilenmesi</w:t>
      </w:r>
      <w:r w:rsidRPr="00CD7F05">
        <w:rPr>
          <w:rFonts w:ascii="Times New Roman" w:hAnsi="Times New Roman" w:cs="Times New Roman"/>
          <w:spacing w:val="5"/>
          <w:sz w:val="24"/>
          <w:szCs w:val="24"/>
        </w:rPr>
        <w:t xml:space="preserve"> </w:t>
      </w:r>
      <w:r w:rsidRPr="00CD7F05">
        <w:rPr>
          <w:rFonts w:ascii="Times New Roman" w:hAnsi="Times New Roman" w:cs="Times New Roman"/>
          <w:sz w:val="24"/>
          <w:szCs w:val="24"/>
        </w:rPr>
        <w:t>riskidir.</w:t>
      </w:r>
    </w:p>
    <w:p w14:paraId="31DD2639" w14:textId="77777777" w:rsidR="00CD7F05" w:rsidRPr="00CD7F05" w:rsidRDefault="00CD7F05" w:rsidP="00CD7F05">
      <w:pPr>
        <w:jc w:val="both"/>
        <w:rPr>
          <w:rFonts w:ascii="Times New Roman" w:hAnsi="Times New Roman" w:cs="Times New Roman"/>
          <w:sz w:val="24"/>
          <w:szCs w:val="24"/>
        </w:rPr>
      </w:pPr>
    </w:p>
    <w:p w14:paraId="0C102536" w14:textId="77777777" w:rsidR="00CD7F05" w:rsidRPr="00CD7F05" w:rsidRDefault="00CD7F05" w:rsidP="00CD7F05">
      <w:pPr>
        <w:widowControl w:val="0"/>
        <w:numPr>
          <w:ilvl w:val="0"/>
          <w:numId w:val="11"/>
        </w:numPr>
        <w:tabs>
          <w:tab w:val="left" w:pos="567"/>
        </w:tabs>
        <w:autoSpaceDE w:val="0"/>
        <w:autoSpaceDN w:val="0"/>
        <w:spacing w:after="0" w:line="242" w:lineRule="auto"/>
        <w:ind w:right="508" w:firstLine="67"/>
        <w:jc w:val="both"/>
        <w:rPr>
          <w:rFonts w:ascii="Times New Roman" w:hAnsi="Times New Roman" w:cs="Times New Roman"/>
          <w:sz w:val="24"/>
          <w:szCs w:val="24"/>
        </w:rPr>
      </w:pPr>
      <w:r w:rsidRPr="00CD7F05">
        <w:rPr>
          <w:rFonts w:ascii="Times New Roman" w:hAnsi="Times New Roman" w:cs="Times New Roman"/>
          <w:b/>
          <w:sz w:val="24"/>
          <w:szCs w:val="24"/>
        </w:rPr>
        <w:t>Yapılandırılmış Yatırım Araçları Riskleri</w:t>
      </w:r>
      <w:r w:rsidRPr="00CD7F05">
        <w:rPr>
          <w:rFonts w:ascii="Times New Roman" w:hAnsi="Times New Roman" w:cs="Times New Roman"/>
          <w:sz w:val="24"/>
          <w:szCs w:val="24"/>
        </w:rPr>
        <w:t>: Yapılandırılmış yatırım araçlarının dayanak varlığının piyasa fiyatındaki değişime bağlı olarak, yapılandırılmış yatırım aracının değerinde meydana gelebilecek zarar riskini ifade etmekte olup, bu araçlar karşı taraf riski, likidite riski, piyasa riskinin tamamını</w:t>
      </w:r>
      <w:r w:rsidRPr="00CD7F05">
        <w:rPr>
          <w:rFonts w:ascii="Times New Roman" w:hAnsi="Times New Roman" w:cs="Times New Roman"/>
          <w:spacing w:val="8"/>
          <w:sz w:val="24"/>
          <w:szCs w:val="24"/>
        </w:rPr>
        <w:t xml:space="preserve"> </w:t>
      </w:r>
      <w:r w:rsidRPr="00CD7F05">
        <w:rPr>
          <w:rFonts w:ascii="Times New Roman" w:hAnsi="Times New Roman" w:cs="Times New Roman"/>
          <w:sz w:val="24"/>
          <w:szCs w:val="24"/>
        </w:rPr>
        <w:t>içerebilmektedir.</w:t>
      </w:r>
    </w:p>
    <w:p w14:paraId="62704D8D" w14:textId="77777777" w:rsidR="00CD7F05" w:rsidRPr="00CD7F05" w:rsidRDefault="00CD7F05" w:rsidP="00CD7F05">
      <w:pPr>
        <w:ind w:left="260" w:firstLine="708"/>
        <w:jc w:val="both"/>
        <w:rPr>
          <w:rFonts w:ascii="Times New Roman" w:hAnsi="Times New Roman" w:cs="Times New Roman"/>
          <w:sz w:val="24"/>
          <w:szCs w:val="24"/>
        </w:rPr>
      </w:pPr>
    </w:p>
    <w:p w14:paraId="095BF843" w14:textId="77777777" w:rsidR="00CD7F05" w:rsidRPr="00CD7F05" w:rsidRDefault="00CD7F05" w:rsidP="00CD7F05">
      <w:pPr>
        <w:widowControl w:val="0"/>
        <w:numPr>
          <w:ilvl w:val="0"/>
          <w:numId w:val="11"/>
        </w:numPr>
        <w:tabs>
          <w:tab w:val="left" w:pos="567"/>
        </w:tabs>
        <w:autoSpaceDE w:val="0"/>
        <w:autoSpaceDN w:val="0"/>
        <w:spacing w:after="0" w:line="242" w:lineRule="auto"/>
        <w:ind w:right="508" w:firstLine="67"/>
        <w:jc w:val="both"/>
        <w:rPr>
          <w:rFonts w:ascii="Times New Roman" w:hAnsi="Times New Roman" w:cs="Times New Roman"/>
          <w:sz w:val="24"/>
          <w:szCs w:val="24"/>
        </w:rPr>
      </w:pPr>
      <w:r w:rsidRPr="00CD7F05">
        <w:rPr>
          <w:rFonts w:ascii="Times New Roman" w:hAnsi="Times New Roman" w:cs="Times New Roman"/>
          <w:b/>
          <w:bCs/>
          <w:sz w:val="24"/>
          <w:szCs w:val="24"/>
        </w:rPr>
        <w:t>Baz Riski:</w:t>
      </w:r>
      <w:r w:rsidRPr="00CD7F05">
        <w:rPr>
          <w:rFonts w:ascii="Times New Roman" w:hAnsi="Times New Roman" w:cs="Times New Roman"/>
          <w:sz w:val="24"/>
          <w:szCs w:val="24"/>
        </w:rPr>
        <w:t xml:space="preserve"> Vadeli işlem sözleşmelerinin cari değeri ile ilgili finansal enstrümanın spot fiyatı arasındaki farkın değişimini ifade etmektedir. Sözleşmede belirlenen vade sonunda vade fiyat ile spot fiyat birbirine eşitlenmektedir. Ancak fon portföyü içerisinde yer alan ilgili vadeli finansal enstrümanlarda işlem yapılan tarih ile vade sonu arasında geçen zaman içerisinde vadeli fiyat ile spot farkı teorik olarak hesaplamadan farklılaşabilmektedir.</w:t>
      </w:r>
    </w:p>
    <w:p w14:paraId="284FD43E" w14:textId="77777777" w:rsidR="00CD7F05" w:rsidRPr="00CD7F05" w:rsidRDefault="00CD7F05" w:rsidP="00CD7F05">
      <w:pPr>
        <w:ind w:left="260" w:firstLine="708"/>
        <w:jc w:val="both"/>
        <w:rPr>
          <w:rFonts w:ascii="Times New Roman" w:hAnsi="Times New Roman" w:cs="Times New Roman"/>
          <w:sz w:val="24"/>
          <w:szCs w:val="24"/>
        </w:rPr>
      </w:pPr>
    </w:p>
    <w:p w14:paraId="198E2751" w14:textId="77777777" w:rsidR="00CD7F05" w:rsidRPr="00CD7F05" w:rsidRDefault="00CD7F05" w:rsidP="00CD7F05">
      <w:pPr>
        <w:widowControl w:val="0"/>
        <w:numPr>
          <w:ilvl w:val="0"/>
          <w:numId w:val="11"/>
        </w:numPr>
        <w:tabs>
          <w:tab w:val="left" w:pos="567"/>
        </w:tabs>
        <w:autoSpaceDE w:val="0"/>
        <w:autoSpaceDN w:val="0"/>
        <w:spacing w:after="0" w:line="242" w:lineRule="auto"/>
        <w:ind w:right="508" w:firstLine="67"/>
        <w:jc w:val="both"/>
        <w:rPr>
          <w:rFonts w:ascii="Times New Roman" w:hAnsi="Times New Roman" w:cs="Times New Roman"/>
          <w:b/>
          <w:bCs/>
          <w:sz w:val="24"/>
          <w:szCs w:val="24"/>
        </w:rPr>
      </w:pPr>
      <w:r w:rsidRPr="00CD7F05">
        <w:rPr>
          <w:rFonts w:ascii="Times New Roman" w:hAnsi="Times New Roman" w:cs="Times New Roman"/>
          <w:b/>
          <w:bCs/>
          <w:sz w:val="24"/>
          <w:szCs w:val="24"/>
        </w:rPr>
        <w:lastRenderedPageBreak/>
        <w:t>Opsiyon Duyarlılık Riskleri:</w:t>
      </w:r>
      <w:r w:rsidRPr="00CD7F05">
        <w:rPr>
          <w:rFonts w:ascii="Times New Roman" w:hAnsi="Times New Roman" w:cs="Times New Roman"/>
          <w:sz w:val="24"/>
          <w:szCs w:val="24"/>
        </w:rPr>
        <w:t xml:space="preserve"> Opsiyon duyarlılık riskleri nedeniyle opsiyonların piyasa değerinde değişim yaşanabilmektedir. Delta; dayanak finansal varlığın fiyatındaki bir birim değişmenin opsiyon fiyatında oluşturduğu değişimi göstermektedir. Gamma; opsiyonun ilgili olduğu varlığın fiyatındaki değişimin opsiyonun deltasında meydana gerektiği değişimi ölçmektedir. Vega; opsiyonun dayanak varlığının fiyat volatilitesindeki birim değişimin opsiyon fiyatında oluşturduğu değişimdir. Theta; opsiyon vadesindeki birim değişimin opsiyon fiyatında meydana getirdiği değişimin ölçüsüdür. Rho ise, faiz oranlarındaki bir puanlık (%1) değişimin opsiyonun fiyatında oluşturduğu değişimin ölçüsüdür.</w:t>
      </w:r>
    </w:p>
    <w:p w14:paraId="7D870B44" w14:textId="77777777" w:rsidR="00CD7F05" w:rsidRPr="00CD7F05" w:rsidRDefault="00CD7F05" w:rsidP="00CD7F05">
      <w:pPr>
        <w:tabs>
          <w:tab w:val="left" w:pos="1265"/>
        </w:tabs>
        <w:spacing w:line="244" w:lineRule="auto"/>
        <w:ind w:right="510"/>
        <w:jc w:val="both"/>
        <w:rPr>
          <w:rFonts w:ascii="Times New Roman" w:hAnsi="Times New Roman" w:cs="Times New Roman"/>
          <w:sz w:val="24"/>
          <w:szCs w:val="24"/>
        </w:rPr>
      </w:pPr>
    </w:p>
    <w:p w14:paraId="40C81C6D" w14:textId="77777777" w:rsidR="00CD7F05" w:rsidRPr="00CD7F05" w:rsidRDefault="00CD7F05" w:rsidP="00CD7F05">
      <w:pPr>
        <w:spacing w:before="93" w:line="244" w:lineRule="auto"/>
        <w:ind w:left="217" w:right="509" w:firstLine="503"/>
        <w:jc w:val="both"/>
        <w:rPr>
          <w:rFonts w:ascii="Times New Roman" w:hAnsi="Times New Roman" w:cs="Times New Roman"/>
          <w:sz w:val="24"/>
          <w:szCs w:val="24"/>
        </w:rPr>
      </w:pPr>
      <w:r w:rsidRPr="00CD7F05">
        <w:rPr>
          <w:rFonts w:ascii="Times New Roman" w:hAnsi="Times New Roman" w:cs="Times New Roman"/>
          <w:sz w:val="24"/>
          <w:szCs w:val="24"/>
        </w:rPr>
        <w:t>Yapılandırılmış yatırım araçlarına yapılan yatırımın beklenmedik ve olağandışı gelişmelerin yaşanması durumlarında vade içinde veya vade sonunda tamamının kaydedilmesi mümkündür. Yapılandırılmış yatırım araçlarının dayanak varlıkları üzerine oluşturulan stratejilerinin getirisinin ilgili dönemde negatif olması halinde, yatırımcı vade sonunda hiçbir gelir elde edemeyeceği gibi vade sonunda yatırımlarının değeri başlangıç değerinin altına düşebilir.</w:t>
      </w:r>
    </w:p>
    <w:p w14:paraId="57F74AA7" w14:textId="77777777" w:rsidR="00CD7F05" w:rsidRPr="00CD7F05" w:rsidRDefault="00CD7F05" w:rsidP="00CD7F05">
      <w:pPr>
        <w:spacing w:before="2"/>
        <w:jc w:val="both"/>
        <w:rPr>
          <w:rFonts w:ascii="Times New Roman" w:hAnsi="Times New Roman" w:cs="Times New Roman"/>
          <w:sz w:val="24"/>
          <w:szCs w:val="24"/>
        </w:rPr>
      </w:pPr>
    </w:p>
    <w:p w14:paraId="44F7C654" w14:textId="77777777" w:rsidR="00CD7F05" w:rsidRPr="00CD7F05" w:rsidRDefault="00CD7F05" w:rsidP="00CD7F05">
      <w:pPr>
        <w:spacing w:before="93" w:line="244" w:lineRule="auto"/>
        <w:ind w:left="217" w:right="509" w:firstLine="503"/>
        <w:jc w:val="both"/>
        <w:rPr>
          <w:rFonts w:ascii="Times New Roman" w:hAnsi="Times New Roman" w:cs="Times New Roman"/>
          <w:sz w:val="24"/>
          <w:szCs w:val="24"/>
        </w:rPr>
      </w:pPr>
      <w:r w:rsidRPr="00CD7F05">
        <w:rPr>
          <w:rFonts w:ascii="Times New Roman" w:hAnsi="Times New Roman" w:cs="Times New Roman"/>
          <w:sz w:val="24"/>
          <w:szCs w:val="24"/>
        </w:rPr>
        <w:t>Yapılandırılmış yatırım araçlarına yatırım yapılması halinde karşı taraf riski de mevcuttur. Yatırımcı, yapılandırılmış yatırım araçlarına ilişkin olarak şirketin kredi riskine maruz kalmakta ve bu risk ölçüsünde bir getiri beklemektedir. Yapılandırılmış yatırım araçlarında yatırımcılar ihraççının ödeme riskini de almaktadır. Ödeme riski ile ihraççı kurumun yapılandırılmış yatırım araçlarından kaynaklanan yükümlülüklerini yerine getirememe riski ifade edilmektedir.  Karşı taraf riskini minimum seviyede tutabilmek adına ihraççının ve/veya varsa yatırım aracının yatırım yapılabilir seviyeye denk gelen derecelendirme notuna sahip olması koşulu aranmaktadır. Olağandışı korelasyon değişiklikleri ve olumsuz piyasa koşullarında ortaya çıkabilecek likidite sorunları yapılandırılmış yatırım araçları için önemli riskler oluşturmaktadır. Piyasa yapıcılığı olmadığı durumlarda yapılandırılmış yatırım araçlarının likidite riski üst</w:t>
      </w:r>
      <w:r w:rsidRPr="00CD7F05">
        <w:rPr>
          <w:rFonts w:ascii="Times New Roman" w:hAnsi="Times New Roman" w:cs="Times New Roman"/>
          <w:spacing w:val="27"/>
          <w:sz w:val="24"/>
          <w:szCs w:val="24"/>
        </w:rPr>
        <w:t xml:space="preserve"> </w:t>
      </w:r>
      <w:r w:rsidRPr="00CD7F05">
        <w:rPr>
          <w:rFonts w:ascii="Times New Roman" w:hAnsi="Times New Roman" w:cs="Times New Roman"/>
          <w:sz w:val="24"/>
          <w:szCs w:val="24"/>
        </w:rPr>
        <w:t>seviyededir.</w:t>
      </w:r>
    </w:p>
    <w:p w14:paraId="7080604D" w14:textId="77777777" w:rsidR="00CD7F05" w:rsidRPr="00CD7F05" w:rsidRDefault="00CD7F05" w:rsidP="00CD7F05">
      <w:pPr>
        <w:spacing w:before="4"/>
        <w:jc w:val="both"/>
        <w:rPr>
          <w:rFonts w:ascii="Times New Roman" w:hAnsi="Times New Roman" w:cs="Times New Roman"/>
          <w:sz w:val="24"/>
          <w:szCs w:val="24"/>
        </w:rPr>
      </w:pPr>
    </w:p>
    <w:p w14:paraId="07FB575F" w14:textId="77777777" w:rsidR="00CD7F05" w:rsidRPr="00CD7F05" w:rsidRDefault="00CD7F05" w:rsidP="00CD7F05">
      <w:pPr>
        <w:spacing w:before="93" w:line="244" w:lineRule="auto"/>
        <w:ind w:left="217" w:right="509" w:firstLine="503"/>
        <w:jc w:val="both"/>
        <w:rPr>
          <w:rFonts w:ascii="Times New Roman" w:hAnsi="Times New Roman" w:cs="Times New Roman"/>
          <w:sz w:val="24"/>
          <w:szCs w:val="24"/>
        </w:rPr>
      </w:pPr>
      <w:r w:rsidRPr="00CD7F05">
        <w:rPr>
          <w:rFonts w:ascii="Times New Roman" w:hAnsi="Times New Roman" w:cs="Times New Roman"/>
          <w:sz w:val="24"/>
          <w:szCs w:val="24"/>
        </w:rPr>
        <w:t>Risk tanımları Kurul düzenlemeleri ve piyasa gelişmeleri takip edilerek düzenli olarak gözden geçirilir ve önemli gelişmelere paralel olarak</w:t>
      </w:r>
      <w:r w:rsidRPr="00CD7F05">
        <w:rPr>
          <w:rFonts w:ascii="Times New Roman" w:hAnsi="Times New Roman" w:cs="Times New Roman"/>
          <w:spacing w:val="14"/>
          <w:sz w:val="24"/>
          <w:szCs w:val="24"/>
        </w:rPr>
        <w:t xml:space="preserve"> </w:t>
      </w:r>
      <w:r w:rsidRPr="00CD7F05">
        <w:rPr>
          <w:rFonts w:ascii="Times New Roman" w:hAnsi="Times New Roman" w:cs="Times New Roman"/>
          <w:sz w:val="24"/>
          <w:szCs w:val="24"/>
        </w:rPr>
        <w:t>güncellenir.</w:t>
      </w:r>
    </w:p>
    <w:p w14:paraId="5053927B" w14:textId="77777777" w:rsidR="00CD7F05" w:rsidRPr="00CD7F05" w:rsidRDefault="00CD7F05" w:rsidP="00CD7F05">
      <w:pPr>
        <w:pStyle w:val="GvdeMetni"/>
        <w:spacing w:before="9"/>
        <w:jc w:val="both"/>
        <w:rPr>
          <w:b/>
        </w:rPr>
      </w:pPr>
    </w:p>
    <w:p w14:paraId="7070D9CD" w14:textId="77777777" w:rsidR="00BA2F1E" w:rsidRPr="00CD7F05" w:rsidRDefault="00BA2F1E" w:rsidP="00BA2F1E">
      <w:pPr>
        <w:pStyle w:val="ListeParagraf"/>
        <w:rPr>
          <w:rFonts w:ascii="Times New Roman" w:hAnsi="Times New Roman" w:cs="Times New Roman"/>
          <w:sz w:val="24"/>
          <w:szCs w:val="24"/>
        </w:rPr>
      </w:pPr>
    </w:p>
    <w:sectPr w:rsidR="00BA2F1E" w:rsidRPr="00CD7F05" w:rsidSect="008A60CB">
      <w:headerReference w:type="default" r:id="rId15"/>
      <w:head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7-19T23:20:00Z" w:initials="A">
    <w:p w14:paraId="4A348956" w14:textId="3DA40107" w:rsidR="00044689" w:rsidRDefault="00044689">
      <w:pPr>
        <w:pStyle w:val="AklamaMetni"/>
      </w:pPr>
      <w:r>
        <w:rPr>
          <w:rStyle w:val="AklamaBavurusu"/>
        </w:rPr>
        <w:annotationRef/>
      </w:r>
      <w:r w:rsidRPr="00044689">
        <w:t>411</w:t>
      </w:r>
      <w:r>
        <w:t>.</w:t>
      </w:r>
      <w:r w:rsidRPr="00044689">
        <w:t>537</w:t>
      </w:r>
      <w:r>
        <w:t>.</w:t>
      </w:r>
      <w:r w:rsidRPr="00044689">
        <w:t>673,55</w:t>
      </w:r>
    </w:p>
  </w:comment>
  <w:comment w:id="1" w:author="Aslı ASLAN" w:date="2024-07-22T10:53:00Z" w:initials="AA">
    <w:p w14:paraId="70CA8B06" w14:textId="77777777" w:rsidR="00AD154C" w:rsidRDefault="00AD154C" w:rsidP="00AD154C">
      <w:pPr>
        <w:pStyle w:val="AklamaMetni"/>
      </w:pPr>
      <w:r>
        <w:rPr>
          <w:rStyle w:val="AklamaBavurusu"/>
        </w:rPr>
        <w:annotationRef/>
      </w:r>
      <w:r>
        <w:t>güncellendi</w:t>
      </w:r>
    </w:p>
  </w:comment>
  <w:comment w:id="2" w:author="ASUS" w:date="2024-07-19T23:19:00Z" w:initials="A">
    <w:p w14:paraId="1EE2E436" w14:textId="17C083FE" w:rsidR="00044689" w:rsidRDefault="00044689">
      <w:pPr>
        <w:pStyle w:val="AklamaMetni"/>
      </w:pPr>
      <w:r>
        <w:rPr>
          <w:rStyle w:val="AklamaBavurusu"/>
        </w:rPr>
        <w:annotationRef/>
      </w:r>
      <w:r>
        <w:t>kontrol</w:t>
      </w:r>
    </w:p>
  </w:comment>
  <w:comment w:id="3" w:author="Aslı ASLAN" w:date="2024-07-22T10:54:00Z" w:initials="AA">
    <w:p w14:paraId="3A22260B" w14:textId="77777777" w:rsidR="00AD154C" w:rsidRDefault="00AD154C" w:rsidP="00AD154C">
      <w:pPr>
        <w:pStyle w:val="AklamaMetni"/>
      </w:pPr>
      <w:r>
        <w:rPr>
          <w:rStyle w:val="AklamaBavurusu"/>
        </w:rPr>
        <w:annotationRef/>
      </w:r>
      <w:r>
        <w:t>Doğru görünüyor son raporda bu şekilde yayınlanmış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348956" w15:done="0"/>
  <w15:commentEx w15:paraId="70CA8B06" w15:paraIdParent="4A348956" w15:done="0"/>
  <w15:commentEx w15:paraId="1EE2E436" w15:done="0"/>
  <w15:commentEx w15:paraId="3A22260B" w15:paraIdParent="1EE2E4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E6EAE3" w16cex:dateUtc="2024-07-22T07:53:00Z"/>
  <w16cex:commentExtensible w16cex:durableId="763F7C34" w16cex:dateUtc="2024-07-22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348956" w16cid:durableId="7536DF34"/>
  <w16cid:commentId w16cid:paraId="70CA8B06" w16cid:durableId="1FE6EAE3"/>
  <w16cid:commentId w16cid:paraId="1EE2E436" w16cid:durableId="523E32AE"/>
  <w16cid:commentId w16cid:paraId="3A22260B" w16cid:durableId="763F7C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A1B0E" w14:textId="77777777" w:rsidR="00757656" w:rsidRDefault="00757656" w:rsidP="00A05B08">
      <w:pPr>
        <w:spacing w:after="0" w:line="240" w:lineRule="auto"/>
      </w:pPr>
      <w:r>
        <w:separator/>
      </w:r>
    </w:p>
  </w:endnote>
  <w:endnote w:type="continuationSeparator" w:id="0">
    <w:p w14:paraId="7D9D6FAA" w14:textId="77777777" w:rsidR="00757656" w:rsidRDefault="00757656"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FC310" w14:textId="77777777" w:rsidR="00757656" w:rsidRDefault="00757656" w:rsidP="00A05B08">
      <w:pPr>
        <w:spacing w:after="0" w:line="240" w:lineRule="auto"/>
      </w:pPr>
      <w:r>
        <w:separator/>
      </w:r>
    </w:p>
  </w:footnote>
  <w:footnote w:type="continuationSeparator" w:id="0">
    <w:p w14:paraId="429A856A" w14:textId="77777777" w:rsidR="00757656" w:rsidRDefault="00757656"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34967CC1" w:rsidR="00A05B08" w:rsidRPr="0041052D" w:rsidRDefault="00A05B08">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 xml:space="preserve">HEDEF PORTFÖY </w:t>
    </w:r>
    <w:r w:rsidR="00423F90">
      <w:rPr>
        <w:rFonts w:ascii="Times New Roman" w:hAnsi="Times New Roman" w:cs="Times New Roman"/>
        <w:b/>
        <w:color w:val="1F3864" w:themeColor="accent5" w:themeShade="80"/>
        <w:sz w:val="24"/>
        <w:szCs w:val="24"/>
      </w:rPr>
      <w:t>BİRİNCİ BORÇLANMA ARAÇLARI</w:t>
    </w:r>
    <w:r w:rsidR="00906896">
      <w:rPr>
        <w:rFonts w:ascii="Times New Roman" w:hAnsi="Times New Roman" w:cs="Times New Roman"/>
        <w:b/>
        <w:color w:val="1F3864" w:themeColor="accent5" w:themeShade="80"/>
        <w:sz w:val="24"/>
        <w:szCs w:val="24"/>
      </w:rPr>
      <w:t>(TL)</w:t>
    </w:r>
    <w:r w:rsidR="00423F90">
      <w:rPr>
        <w:rFonts w:ascii="Times New Roman" w:hAnsi="Times New Roman" w:cs="Times New Roman"/>
        <w:b/>
        <w:color w:val="1F3864" w:themeColor="accent5" w:themeShade="80"/>
        <w:sz w:val="24"/>
        <w:szCs w:val="24"/>
      </w:rPr>
      <w:t xml:space="preserve"> FONU</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3B668" w14:textId="77777777" w:rsidR="004A1C26" w:rsidRDefault="004A1C26" w:rsidP="004A1C26">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3089604A" wp14:editId="7C852EFE">
              <wp:simplePos x="0" y="0"/>
              <wp:positionH relativeFrom="column">
                <wp:posOffset>3685540</wp:posOffset>
              </wp:positionH>
              <wp:positionV relativeFrom="paragraph">
                <wp:posOffset>-214630</wp:posOffset>
              </wp:positionV>
              <wp:extent cx="2235200" cy="1085850"/>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8CDEB" w14:textId="77777777" w:rsidR="004A1C26" w:rsidRPr="00447D36" w:rsidRDefault="004A1C26" w:rsidP="004A1C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1EE07263" w14:textId="77777777" w:rsidR="004A1C26" w:rsidRPr="00447D36" w:rsidRDefault="004A1C26" w:rsidP="004A1C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2390F46B" w14:textId="77777777" w:rsidR="004A1C26" w:rsidRPr="00447D36" w:rsidRDefault="004A1C26" w:rsidP="004A1C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0AFD660C" w14:textId="77777777" w:rsidR="004A1C26" w:rsidRPr="00447D36" w:rsidRDefault="004A1C26" w:rsidP="004A1C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36407E2D" w14:textId="77777777" w:rsidR="004A1C26" w:rsidRPr="0064371B" w:rsidRDefault="004A1C26" w:rsidP="004A1C26">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63355771" w14:textId="77777777" w:rsidR="004A1C26" w:rsidRDefault="004A1C26" w:rsidP="004A1C26">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89604A" id="_x0000_t202" coordsize="21600,21600" o:spt="202" path="m,l,21600r21600,l21600,xe">
              <v:stroke joinstyle="miter"/>
              <v:path gradientshapeok="t" o:connecttype="rect"/>
            </v:shapetype>
            <v:shape id="Metin Kutusu 2" o:spid="_x0000_s1026" type="#_x0000_t202" style="position:absolute;margin-left:290.2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" filled="f" stroked="f">
              <v:textbox>
                <w:txbxContent>
                  <w:p w14:paraId="3958CDEB" w14:textId="77777777" w:rsidR="004A1C26" w:rsidRPr="00447D36" w:rsidRDefault="004A1C26" w:rsidP="004A1C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1EE07263" w14:textId="77777777" w:rsidR="004A1C26" w:rsidRPr="00447D36" w:rsidRDefault="004A1C26" w:rsidP="004A1C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2390F46B" w14:textId="77777777" w:rsidR="004A1C26" w:rsidRPr="00447D36" w:rsidRDefault="004A1C26" w:rsidP="004A1C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0AFD660C" w14:textId="77777777" w:rsidR="004A1C26" w:rsidRPr="00447D36" w:rsidRDefault="004A1C26" w:rsidP="004A1C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36407E2D" w14:textId="77777777" w:rsidR="004A1C26" w:rsidRPr="0064371B" w:rsidRDefault="004A1C26" w:rsidP="004A1C26">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63355771" w14:textId="77777777" w:rsidR="004A1C26" w:rsidRDefault="004A1C26" w:rsidP="004A1C26">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279BE1DD" wp14:editId="2234AD09">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19876954" w14:textId="77777777" w:rsidR="004A1C26" w:rsidRDefault="004A1C2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757A2" w14:textId="77777777" w:rsidR="004A1C26" w:rsidRPr="0041052D" w:rsidRDefault="004A1C26">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 xml:space="preserve">HEDEF PORTFÖY </w:t>
    </w:r>
    <w:r>
      <w:rPr>
        <w:rFonts w:ascii="Times New Roman" w:hAnsi="Times New Roman" w:cs="Times New Roman"/>
        <w:b/>
        <w:color w:val="1F3864" w:themeColor="accent5" w:themeShade="80"/>
        <w:sz w:val="24"/>
        <w:szCs w:val="24"/>
      </w:rPr>
      <w:t>BİRİNCİ BORÇLANMA ARAÇLARI(TL) FONU PERFORMANS SUNUM</w:t>
    </w:r>
    <w:r w:rsidRPr="0041052D">
      <w:rPr>
        <w:rFonts w:ascii="Times New Roman" w:hAnsi="Times New Roman" w:cs="Times New Roman"/>
        <w:b/>
        <w:color w:val="1F3864" w:themeColor="accent5" w:themeShade="80"/>
        <w:sz w:val="24"/>
        <w:szCs w:val="24"/>
      </w:rPr>
      <w:t xml:space="preserve"> RAPORU</w:t>
    </w:r>
  </w:p>
  <w:p w14:paraId="3D69B2C6" w14:textId="77777777" w:rsidR="004A1C26" w:rsidRDefault="004A1C26">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6C236" w14:textId="77777777" w:rsidR="004A1C26" w:rsidRDefault="004A1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70074A"/>
    <w:multiLevelType w:val="hybridMultilevel"/>
    <w:tmpl w:val="FFFFFFFF"/>
    <w:lvl w:ilvl="0" w:tplc="D9621BDA">
      <w:start w:val="1"/>
      <w:numFmt w:val="lowerLetter"/>
      <w:lvlText w:val="%1-"/>
      <w:lvlJc w:val="left"/>
      <w:pPr>
        <w:ind w:left="906" w:hanging="275"/>
      </w:pPr>
      <w:rPr>
        <w:rFonts w:ascii="Times New Roman" w:eastAsia="Times New Roman" w:hAnsi="Times New Roman" w:cs="Times New Roman" w:hint="default"/>
        <w:b/>
        <w:bCs/>
        <w:w w:val="101"/>
        <w:sz w:val="23"/>
        <w:szCs w:val="23"/>
      </w:rPr>
    </w:lvl>
    <w:lvl w:ilvl="1" w:tplc="FFFFFFFF">
      <w:numFmt w:val="bullet"/>
      <w:lvlText w:val="•"/>
      <w:lvlJc w:val="left"/>
      <w:pPr>
        <w:ind w:left="1798" w:hanging="275"/>
      </w:pPr>
      <w:rPr>
        <w:rFonts w:hint="default"/>
      </w:rPr>
    </w:lvl>
    <w:lvl w:ilvl="2" w:tplc="FFFFFFFF">
      <w:numFmt w:val="bullet"/>
      <w:lvlText w:val="•"/>
      <w:lvlJc w:val="left"/>
      <w:pPr>
        <w:ind w:left="2697" w:hanging="275"/>
      </w:pPr>
      <w:rPr>
        <w:rFonts w:hint="default"/>
      </w:rPr>
    </w:lvl>
    <w:lvl w:ilvl="3" w:tplc="FFFFFFFF">
      <w:numFmt w:val="bullet"/>
      <w:lvlText w:val="•"/>
      <w:lvlJc w:val="left"/>
      <w:pPr>
        <w:ind w:left="3595" w:hanging="275"/>
      </w:pPr>
      <w:rPr>
        <w:rFonts w:hint="default"/>
      </w:rPr>
    </w:lvl>
    <w:lvl w:ilvl="4" w:tplc="FFFFFFFF">
      <w:numFmt w:val="bullet"/>
      <w:lvlText w:val="•"/>
      <w:lvlJc w:val="left"/>
      <w:pPr>
        <w:ind w:left="4494" w:hanging="275"/>
      </w:pPr>
      <w:rPr>
        <w:rFonts w:hint="default"/>
      </w:rPr>
    </w:lvl>
    <w:lvl w:ilvl="5" w:tplc="FFFFFFFF">
      <w:numFmt w:val="bullet"/>
      <w:lvlText w:val="•"/>
      <w:lvlJc w:val="left"/>
      <w:pPr>
        <w:ind w:left="5393" w:hanging="275"/>
      </w:pPr>
      <w:rPr>
        <w:rFonts w:hint="default"/>
      </w:rPr>
    </w:lvl>
    <w:lvl w:ilvl="6" w:tplc="FFFFFFFF">
      <w:numFmt w:val="bullet"/>
      <w:lvlText w:val="•"/>
      <w:lvlJc w:val="left"/>
      <w:pPr>
        <w:ind w:left="6291" w:hanging="275"/>
      </w:pPr>
      <w:rPr>
        <w:rFonts w:hint="default"/>
      </w:rPr>
    </w:lvl>
    <w:lvl w:ilvl="7" w:tplc="FFFFFFFF">
      <w:numFmt w:val="bullet"/>
      <w:lvlText w:val="•"/>
      <w:lvlJc w:val="left"/>
      <w:pPr>
        <w:ind w:left="7190" w:hanging="275"/>
      </w:pPr>
      <w:rPr>
        <w:rFonts w:hint="default"/>
      </w:rPr>
    </w:lvl>
    <w:lvl w:ilvl="8" w:tplc="FFFFFFFF">
      <w:numFmt w:val="bullet"/>
      <w:lvlText w:val="•"/>
      <w:lvlJc w:val="left"/>
      <w:pPr>
        <w:ind w:left="8089" w:hanging="275"/>
      </w:pPr>
      <w:rPr>
        <w:rFonts w:hint="default"/>
      </w:rPr>
    </w:lvl>
  </w:abstractNum>
  <w:abstractNum w:abstractNumId="2"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3" w15:restartNumberingAfterBreak="0">
    <w:nsid w:val="23E07B95"/>
    <w:multiLevelType w:val="hybridMultilevel"/>
    <w:tmpl w:val="8940BE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BF7A55"/>
    <w:multiLevelType w:val="hybridMultilevel"/>
    <w:tmpl w:val="2F1A54AE"/>
    <w:lvl w:ilvl="0" w:tplc="FFFFFFFF">
      <w:start w:val="1"/>
      <w:numFmt w:val="decimal"/>
      <w:lvlText w:val="%1)"/>
      <w:lvlJc w:val="left"/>
      <w:pPr>
        <w:ind w:left="217" w:hanging="307"/>
      </w:pPr>
      <w:rPr>
        <w:rFonts w:ascii="Times New Roman" w:eastAsia="Times New Roman" w:hAnsi="Times New Roman" w:cs="Times New Roman" w:hint="default"/>
        <w:b/>
        <w:bCs/>
        <w:w w:val="101"/>
        <w:sz w:val="23"/>
        <w:szCs w:val="23"/>
      </w:rPr>
    </w:lvl>
    <w:lvl w:ilvl="1" w:tplc="FFFFFFFF">
      <w:numFmt w:val="bullet"/>
      <w:lvlText w:val="•"/>
      <w:lvlJc w:val="left"/>
      <w:pPr>
        <w:ind w:left="1186" w:hanging="307"/>
      </w:pPr>
      <w:rPr>
        <w:rFonts w:hint="default"/>
      </w:rPr>
    </w:lvl>
    <w:lvl w:ilvl="2" w:tplc="FFFFFFFF">
      <w:numFmt w:val="bullet"/>
      <w:lvlText w:val="•"/>
      <w:lvlJc w:val="left"/>
      <w:pPr>
        <w:ind w:left="2153" w:hanging="307"/>
      </w:pPr>
      <w:rPr>
        <w:rFonts w:hint="default"/>
      </w:rPr>
    </w:lvl>
    <w:lvl w:ilvl="3" w:tplc="FFFFFFFF">
      <w:numFmt w:val="bullet"/>
      <w:lvlText w:val="•"/>
      <w:lvlJc w:val="left"/>
      <w:pPr>
        <w:ind w:left="3119" w:hanging="307"/>
      </w:pPr>
      <w:rPr>
        <w:rFonts w:hint="default"/>
      </w:rPr>
    </w:lvl>
    <w:lvl w:ilvl="4" w:tplc="FFFFFFFF">
      <w:numFmt w:val="bullet"/>
      <w:lvlText w:val="•"/>
      <w:lvlJc w:val="left"/>
      <w:pPr>
        <w:ind w:left="4086" w:hanging="307"/>
      </w:pPr>
      <w:rPr>
        <w:rFonts w:hint="default"/>
      </w:rPr>
    </w:lvl>
    <w:lvl w:ilvl="5" w:tplc="FFFFFFFF">
      <w:numFmt w:val="bullet"/>
      <w:lvlText w:val="•"/>
      <w:lvlJc w:val="left"/>
      <w:pPr>
        <w:ind w:left="5053" w:hanging="307"/>
      </w:pPr>
      <w:rPr>
        <w:rFonts w:hint="default"/>
      </w:rPr>
    </w:lvl>
    <w:lvl w:ilvl="6" w:tplc="FFFFFFFF">
      <w:numFmt w:val="bullet"/>
      <w:lvlText w:val="•"/>
      <w:lvlJc w:val="left"/>
      <w:pPr>
        <w:ind w:left="6019" w:hanging="307"/>
      </w:pPr>
      <w:rPr>
        <w:rFonts w:hint="default"/>
      </w:rPr>
    </w:lvl>
    <w:lvl w:ilvl="7" w:tplc="FFFFFFFF">
      <w:numFmt w:val="bullet"/>
      <w:lvlText w:val="•"/>
      <w:lvlJc w:val="left"/>
      <w:pPr>
        <w:ind w:left="6986" w:hanging="307"/>
      </w:pPr>
      <w:rPr>
        <w:rFonts w:hint="default"/>
      </w:rPr>
    </w:lvl>
    <w:lvl w:ilvl="8" w:tplc="FFFFFFFF">
      <w:numFmt w:val="bullet"/>
      <w:lvlText w:val="•"/>
      <w:lvlJc w:val="left"/>
      <w:pPr>
        <w:ind w:left="7953" w:hanging="307"/>
      </w:pPr>
      <w:rPr>
        <w:rFonts w:hint="default"/>
      </w:rPr>
    </w:lvl>
  </w:abstractNum>
  <w:abstractNum w:abstractNumId="5"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B84948"/>
    <w:multiLevelType w:val="hybridMultilevel"/>
    <w:tmpl w:val="0D7CC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7574CA"/>
    <w:multiLevelType w:val="hybridMultilevel"/>
    <w:tmpl w:val="DDC0A4CE"/>
    <w:lvl w:ilvl="0" w:tplc="E9340EE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798303840">
    <w:abstractNumId w:val="5"/>
  </w:num>
  <w:num w:numId="2" w16cid:durableId="2063475996">
    <w:abstractNumId w:val="0"/>
  </w:num>
  <w:num w:numId="3" w16cid:durableId="1372144715">
    <w:abstractNumId w:val="9"/>
  </w:num>
  <w:num w:numId="4" w16cid:durableId="1682004175">
    <w:abstractNumId w:val="8"/>
  </w:num>
  <w:num w:numId="5" w16cid:durableId="1233157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4747431">
    <w:abstractNumId w:val="10"/>
  </w:num>
  <w:num w:numId="7" w16cid:durableId="1983342617">
    <w:abstractNumId w:val="2"/>
  </w:num>
  <w:num w:numId="8" w16cid:durableId="116721421">
    <w:abstractNumId w:val="6"/>
  </w:num>
  <w:num w:numId="9" w16cid:durableId="459961597">
    <w:abstractNumId w:val="7"/>
  </w:num>
  <w:num w:numId="10" w16cid:durableId="1919168656">
    <w:abstractNumId w:val="1"/>
  </w:num>
  <w:num w:numId="11" w16cid:durableId="1254895701">
    <w:abstractNumId w:val="4"/>
  </w:num>
  <w:num w:numId="12" w16cid:durableId="4218817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lı ASLAN">
    <w15:presenceInfo w15:providerId="AD" w15:userId="S-1-5-21-4214868934-3251707594-3945005557-3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03CA6"/>
    <w:rsid w:val="00016B29"/>
    <w:rsid w:val="00030329"/>
    <w:rsid w:val="00032E31"/>
    <w:rsid w:val="000333B4"/>
    <w:rsid w:val="00044114"/>
    <w:rsid w:val="00044689"/>
    <w:rsid w:val="000669A7"/>
    <w:rsid w:val="000A1D61"/>
    <w:rsid w:val="000B2046"/>
    <w:rsid w:val="000E1417"/>
    <w:rsid w:val="000F7A0F"/>
    <w:rsid w:val="000F7B1B"/>
    <w:rsid w:val="00101F1C"/>
    <w:rsid w:val="00103F61"/>
    <w:rsid w:val="00106889"/>
    <w:rsid w:val="00137894"/>
    <w:rsid w:val="00154745"/>
    <w:rsid w:val="001B1348"/>
    <w:rsid w:val="001B1C6E"/>
    <w:rsid w:val="001C4968"/>
    <w:rsid w:val="001E0E01"/>
    <w:rsid w:val="002156F1"/>
    <w:rsid w:val="00223B91"/>
    <w:rsid w:val="00232ADF"/>
    <w:rsid w:val="0023421B"/>
    <w:rsid w:val="00236423"/>
    <w:rsid w:val="00237C1F"/>
    <w:rsid w:val="00242370"/>
    <w:rsid w:val="00275FAF"/>
    <w:rsid w:val="00283E1E"/>
    <w:rsid w:val="00287E67"/>
    <w:rsid w:val="00294CF5"/>
    <w:rsid w:val="00295675"/>
    <w:rsid w:val="002B133F"/>
    <w:rsid w:val="002B7A92"/>
    <w:rsid w:val="002D47A7"/>
    <w:rsid w:val="002E0202"/>
    <w:rsid w:val="002E2517"/>
    <w:rsid w:val="002E685D"/>
    <w:rsid w:val="002F33C2"/>
    <w:rsid w:val="003276D7"/>
    <w:rsid w:val="00345C03"/>
    <w:rsid w:val="00345E9E"/>
    <w:rsid w:val="00351EF4"/>
    <w:rsid w:val="00353A6C"/>
    <w:rsid w:val="00373F9B"/>
    <w:rsid w:val="00392B73"/>
    <w:rsid w:val="00395760"/>
    <w:rsid w:val="003967FC"/>
    <w:rsid w:val="003B245E"/>
    <w:rsid w:val="003D35A3"/>
    <w:rsid w:val="003D4A1E"/>
    <w:rsid w:val="003D66F7"/>
    <w:rsid w:val="0041052D"/>
    <w:rsid w:val="00416252"/>
    <w:rsid w:val="00423713"/>
    <w:rsid w:val="00423F90"/>
    <w:rsid w:val="00460691"/>
    <w:rsid w:val="0049192A"/>
    <w:rsid w:val="00495B04"/>
    <w:rsid w:val="004A1C26"/>
    <w:rsid w:val="004A5550"/>
    <w:rsid w:val="004C5257"/>
    <w:rsid w:val="004D66A4"/>
    <w:rsid w:val="004E72E0"/>
    <w:rsid w:val="005371EE"/>
    <w:rsid w:val="00596C79"/>
    <w:rsid w:val="00597CD9"/>
    <w:rsid w:val="005A11CE"/>
    <w:rsid w:val="005A19EC"/>
    <w:rsid w:val="005B4267"/>
    <w:rsid w:val="005C70A1"/>
    <w:rsid w:val="005D0231"/>
    <w:rsid w:val="005D3818"/>
    <w:rsid w:val="005E018D"/>
    <w:rsid w:val="005F3AE3"/>
    <w:rsid w:val="005F5413"/>
    <w:rsid w:val="0062182C"/>
    <w:rsid w:val="00621CF3"/>
    <w:rsid w:val="00623AF0"/>
    <w:rsid w:val="006554C1"/>
    <w:rsid w:val="00660067"/>
    <w:rsid w:val="006858ED"/>
    <w:rsid w:val="0068663D"/>
    <w:rsid w:val="006A0773"/>
    <w:rsid w:val="006C07D6"/>
    <w:rsid w:val="006D1809"/>
    <w:rsid w:val="006E30CC"/>
    <w:rsid w:val="006F1320"/>
    <w:rsid w:val="00732B90"/>
    <w:rsid w:val="00734387"/>
    <w:rsid w:val="007403AA"/>
    <w:rsid w:val="00757656"/>
    <w:rsid w:val="007A0262"/>
    <w:rsid w:val="007A3D25"/>
    <w:rsid w:val="007B4462"/>
    <w:rsid w:val="007B4E2D"/>
    <w:rsid w:val="007C0B88"/>
    <w:rsid w:val="007C73DD"/>
    <w:rsid w:val="007D2136"/>
    <w:rsid w:val="007D75CD"/>
    <w:rsid w:val="007E2780"/>
    <w:rsid w:val="00817594"/>
    <w:rsid w:val="008260F4"/>
    <w:rsid w:val="0085667D"/>
    <w:rsid w:val="00897BBB"/>
    <w:rsid w:val="008A2B04"/>
    <w:rsid w:val="008A4183"/>
    <w:rsid w:val="008A4474"/>
    <w:rsid w:val="008A60CB"/>
    <w:rsid w:val="008C136E"/>
    <w:rsid w:val="008C34E8"/>
    <w:rsid w:val="008D1A76"/>
    <w:rsid w:val="00901163"/>
    <w:rsid w:val="00906896"/>
    <w:rsid w:val="00942BAD"/>
    <w:rsid w:val="0096176B"/>
    <w:rsid w:val="00963EEC"/>
    <w:rsid w:val="009722D3"/>
    <w:rsid w:val="00973E09"/>
    <w:rsid w:val="00976460"/>
    <w:rsid w:val="009A6126"/>
    <w:rsid w:val="009C7259"/>
    <w:rsid w:val="00A05B08"/>
    <w:rsid w:val="00A17399"/>
    <w:rsid w:val="00A23DDD"/>
    <w:rsid w:val="00A24F37"/>
    <w:rsid w:val="00A263C6"/>
    <w:rsid w:val="00A2654E"/>
    <w:rsid w:val="00A34901"/>
    <w:rsid w:val="00A47FF6"/>
    <w:rsid w:val="00A50942"/>
    <w:rsid w:val="00A520CF"/>
    <w:rsid w:val="00A6163A"/>
    <w:rsid w:val="00A667D5"/>
    <w:rsid w:val="00A67A8A"/>
    <w:rsid w:val="00A779B1"/>
    <w:rsid w:val="00AA17B4"/>
    <w:rsid w:val="00AB6974"/>
    <w:rsid w:val="00AD154C"/>
    <w:rsid w:val="00AD4058"/>
    <w:rsid w:val="00AF3A9D"/>
    <w:rsid w:val="00B0426D"/>
    <w:rsid w:val="00B212E2"/>
    <w:rsid w:val="00B21C7D"/>
    <w:rsid w:val="00B31E30"/>
    <w:rsid w:val="00B975CA"/>
    <w:rsid w:val="00BA118B"/>
    <w:rsid w:val="00BA2C65"/>
    <w:rsid w:val="00BA2F1E"/>
    <w:rsid w:val="00BC0AF1"/>
    <w:rsid w:val="00BC4211"/>
    <w:rsid w:val="00BE37F7"/>
    <w:rsid w:val="00BF2B84"/>
    <w:rsid w:val="00BF54DE"/>
    <w:rsid w:val="00C158F7"/>
    <w:rsid w:val="00C16969"/>
    <w:rsid w:val="00CA0938"/>
    <w:rsid w:val="00CC0D71"/>
    <w:rsid w:val="00CC7520"/>
    <w:rsid w:val="00CD4C99"/>
    <w:rsid w:val="00CD7184"/>
    <w:rsid w:val="00CD7F05"/>
    <w:rsid w:val="00CE6762"/>
    <w:rsid w:val="00CF029B"/>
    <w:rsid w:val="00D06446"/>
    <w:rsid w:val="00D302F4"/>
    <w:rsid w:val="00D34E03"/>
    <w:rsid w:val="00D36275"/>
    <w:rsid w:val="00D42D4B"/>
    <w:rsid w:val="00D52CC0"/>
    <w:rsid w:val="00D7161B"/>
    <w:rsid w:val="00D81B9A"/>
    <w:rsid w:val="00DD3063"/>
    <w:rsid w:val="00E12E3B"/>
    <w:rsid w:val="00E27CCD"/>
    <w:rsid w:val="00E32B0B"/>
    <w:rsid w:val="00E50129"/>
    <w:rsid w:val="00E75433"/>
    <w:rsid w:val="00E757CE"/>
    <w:rsid w:val="00E76F10"/>
    <w:rsid w:val="00E815C1"/>
    <w:rsid w:val="00E87829"/>
    <w:rsid w:val="00EA6C4D"/>
    <w:rsid w:val="00EB4E0D"/>
    <w:rsid w:val="00EC15BE"/>
    <w:rsid w:val="00ED76F3"/>
    <w:rsid w:val="00EE1C8B"/>
    <w:rsid w:val="00EF2040"/>
    <w:rsid w:val="00EF700D"/>
    <w:rsid w:val="00F0508E"/>
    <w:rsid w:val="00F05C03"/>
    <w:rsid w:val="00F42315"/>
    <w:rsid w:val="00F5703C"/>
    <w:rsid w:val="00F70D62"/>
    <w:rsid w:val="00F76DF3"/>
    <w:rsid w:val="00F94051"/>
    <w:rsid w:val="00FA1809"/>
    <w:rsid w:val="00FC543F"/>
    <w:rsid w:val="00FE0F8F"/>
    <w:rsid w:val="00FF02C2"/>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71E5F5EA-ADCC-4FE4-8BDD-8F522DFE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customStyle="1" w:styleId="Default">
    <w:name w:val="Default"/>
    <w:rsid w:val="004A1C2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4A1C26"/>
  </w:style>
  <w:style w:type="paragraph" w:customStyle="1" w:styleId="paragraph">
    <w:name w:val="paragraph"/>
    <w:basedOn w:val="Normal"/>
    <w:rsid w:val="004A1C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4A1C26"/>
  </w:style>
  <w:style w:type="character" w:styleId="AklamaBavurusu">
    <w:name w:val="annotation reference"/>
    <w:basedOn w:val="VarsaylanParagrafYazTipi"/>
    <w:uiPriority w:val="99"/>
    <w:semiHidden/>
    <w:unhideWhenUsed/>
    <w:rsid w:val="00044689"/>
    <w:rPr>
      <w:sz w:val="16"/>
      <w:szCs w:val="16"/>
    </w:rPr>
  </w:style>
  <w:style w:type="paragraph" w:styleId="AklamaMetni">
    <w:name w:val="annotation text"/>
    <w:basedOn w:val="Normal"/>
    <w:link w:val="AklamaMetniChar"/>
    <w:uiPriority w:val="99"/>
    <w:unhideWhenUsed/>
    <w:rsid w:val="00044689"/>
    <w:pPr>
      <w:spacing w:line="240" w:lineRule="auto"/>
    </w:pPr>
    <w:rPr>
      <w:sz w:val="20"/>
      <w:szCs w:val="20"/>
    </w:rPr>
  </w:style>
  <w:style w:type="character" w:customStyle="1" w:styleId="AklamaMetniChar">
    <w:name w:val="Açıklama Metni Char"/>
    <w:basedOn w:val="VarsaylanParagrafYazTipi"/>
    <w:link w:val="AklamaMetni"/>
    <w:uiPriority w:val="99"/>
    <w:rsid w:val="00044689"/>
    <w:rPr>
      <w:sz w:val="20"/>
      <w:szCs w:val="20"/>
    </w:rPr>
  </w:style>
  <w:style w:type="paragraph" w:styleId="AklamaKonusu">
    <w:name w:val="annotation subject"/>
    <w:basedOn w:val="AklamaMetni"/>
    <w:next w:val="AklamaMetni"/>
    <w:link w:val="AklamaKonusuChar"/>
    <w:uiPriority w:val="99"/>
    <w:semiHidden/>
    <w:unhideWhenUsed/>
    <w:rsid w:val="00044689"/>
    <w:rPr>
      <w:b/>
      <w:bCs/>
    </w:rPr>
  </w:style>
  <w:style w:type="character" w:customStyle="1" w:styleId="AklamaKonusuChar">
    <w:name w:val="Açıklama Konusu Char"/>
    <w:basedOn w:val="AklamaMetniChar"/>
    <w:link w:val="AklamaKonusu"/>
    <w:uiPriority w:val="99"/>
    <w:semiHidden/>
    <w:rsid w:val="000446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00864">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65784113">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74250953">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978998255">
      <w:bodyDiv w:val="1"/>
      <w:marLeft w:val="0"/>
      <w:marRight w:val="0"/>
      <w:marTop w:val="0"/>
      <w:marBottom w:val="0"/>
      <w:divBdr>
        <w:top w:val="none" w:sz="0" w:space="0" w:color="auto"/>
        <w:left w:val="none" w:sz="0" w:space="0" w:color="auto"/>
        <w:bottom w:val="none" w:sz="0" w:space="0" w:color="auto"/>
        <w:right w:val="none" w:sz="0" w:space="0" w:color="auto"/>
      </w:divBdr>
    </w:div>
    <w:div w:id="1107044866">
      <w:bodyDiv w:val="1"/>
      <w:marLeft w:val="0"/>
      <w:marRight w:val="0"/>
      <w:marTop w:val="0"/>
      <w:marBottom w:val="0"/>
      <w:divBdr>
        <w:top w:val="none" w:sz="0" w:space="0" w:color="auto"/>
        <w:left w:val="none" w:sz="0" w:space="0" w:color="auto"/>
        <w:bottom w:val="none" w:sz="0" w:space="0" w:color="auto"/>
        <w:right w:val="none" w:sz="0" w:space="0" w:color="auto"/>
      </w:divBdr>
    </w:div>
    <w:div w:id="1119495989">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577351210">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70410388">
      <w:bodyDiv w:val="1"/>
      <w:marLeft w:val="0"/>
      <w:marRight w:val="0"/>
      <w:marTop w:val="0"/>
      <w:marBottom w:val="0"/>
      <w:divBdr>
        <w:top w:val="none" w:sz="0" w:space="0" w:color="auto"/>
        <w:left w:val="none" w:sz="0" w:space="0" w:color="auto"/>
        <w:bottom w:val="none" w:sz="0" w:space="0" w:color="auto"/>
        <w:right w:val="none" w:sz="0" w:space="0" w:color="auto"/>
      </w:divBdr>
    </w:div>
    <w:div w:id="1934976016">
      <w:bodyDiv w:val="1"/>
      <w:marLeft w:val="0"/>
      <w:marRight w:val="0"/>
      <w:marTop w:val="0"/>
      <w:marBottom w:val="0"/>
      <w:divBdr>
        <w:top w:val="none" w:sz="0" w:space="0" w:color="auto"/>
        <w:left w:val="none" w:sz="0" w:space="0" w:color="auto"/>
        <w:bottom w:val="none" w:sz="0" w:space="0" w:color="auto"/>
        <w:right w:val="none" w:sz="0" w:space="0" w:color="auto"/>
      </w:divBdr>
    </w:div>
    <w:div w:id="1978024281">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46711780">
      <w:bodyDiv w:val="1"/>
      <w:marLeft w:val="0"/>
      <w:marRight w:val="0"/>
      <w:marTop w:val="0"/>
      <w:marBottom w:val="0"/>
      <w:divBdr>
        <w:top w:val="none" w:sz="0" w:space="0" w:color="auto"/>
        <w:left w:val="none" w:sz="0" w:space="0" w:color="auto"/>
        <w:bottom w:val="none" w:sz="0" w:space="0" w:color="auto"/>
        <w:right w:val="none" w:sz="0" w:space="0" w:color="auto"/>
      </w:divBdr>
    </w:div>
    <w:div w:id="2066565910">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04B35-F701-4952-8EE7-104914CC9E53}">
  <ds:schemaRefs>
    <ds:schemaRef ds:uri="http://schemas.microsoft.com/sharepoint/v3/contenttype/forms"/>
  </ds:schemaRefs>
</ds:datastoreItem>
</file>

<file path=customXml/itemProps2.xml><?xml version="1.0" encoding="utf-8"?>
<ds:datastoreItem xmlns:ds="http://schemas.openxmlformats.org/officeDocument/2006/customXml" ds:itemID="{4EE90C9F-A667-4E26-9831-2FF0C3ED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1959</Words>
  <Characters>11167</Characters>
  <Application>Microsoft Office Word</Application>
  <DocSecurity>4</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2018-01-05T06:32:00Z</cp:lastPrinted>
  <dcterms:created xsi:type="dcterms:W3CDTF">2024-07-22T07:54:00Z</dcterms:created>
  <dcterms:modified xsi:type="dcterms:W3CDTF">2024-07-22T07:54:00Z</dcterms:modified>
</cp:coreProperties>
</file>