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068B3" w14:textId="77777777" w:rsidR="009D1B35" w:rsidRDefault="009D1B35" w:rsidP="009D1B35">
      <w:pPr>
        <w:pStyle w:val="Default"/>
        <w:jc w:val="center"/>
      </w:pPr>
    </w:p>
    <w:p w14:paraId="3DB42B2D" w14:textId="77777777" w:rsidR="009D1B35" w:rsidRDefault="009D1B35" w:rsidP="009D1B35">
      <w:pPr>
        <w:pStyle w:val="Default"/>
        <w:jc w:val="center"/>
      </w:pPr>
    </w:p>
    <w:p w14:paraId="43E93FF4" w14:textId="77777777" w:rsidR="009D1B35" w:rsidRDefault="009D1B35" w:rsidP="009D1B35">
      <w:pPr>
        <w:pStyle w:val="Default"/>
        <w:jc w:val="center"/>
      </w:pPr>
    </w:p>
    <w:p w14:paraId="66474EFA" w14:textId="77777777" w:rsidR="009D1B35" w:rsidRDefault="009D1B35" w:rsidP="009D1B35">
      <w:pPr>
        <w:pStyle w:val="Default"/>
        <w:jc w:val="center"/>
      </w:pPr>
    </w:p>
    <w:p w14:paraId="58ADB6C5" w14:textId="77777777" w:rsidR="009D1B35" w:rsidRDefault="009D1B35" w:rsidP="009D1B35">
      <w:pPr>
        <w:pStyle w:val="Default"/>
        <w:jc w:val="center"/>
      </w:pPr>
    </w:p>
    <w:p w14:paraId="1B497744" w14:textId="77777777" w:rsidR="009D1B35" w:rsidRDefault="009D1B35" w:rsidP="009D1B35">
      <w:pPr>
        <w:pStyle w:val="Default"/>
        <w:jc w:val="center"/>
      </w:pPr>
    </w:p>
    <w:p w14:paraId="6C711B0E" w14:textId="77777777" w:rsidR="009D1B35" w:rsidRDefault="009D1B35" w:rsidP="009D1B35">
      <w:pPr>
        <w:pStyle w:val="Default"/>
        <w:jc w:val="center"/>
      </w:pPr>
    </w:p>
    <w:p w14:paraId="4A27E07F" w14:textId="77777777" w:rsidR="009D1B35" w:rsidRDefault="009D1B35" w:rsidP="009D1B35">
      <w:pPr>
        <w:pStyle w:val="Default"/>
        <w:jc w:val="center"/>
      </w:pPr>
    </w:p>
    <w:p w14:paraId="76DC3E14" w14:textId="77777777" w:rsidR="009D1B35" w:rsidRDefault="009D1B35" w:rsidP="009D1B35">
      <w:pPr>
        <w:pStyle w:val="Default"/>
        <w:jc w:val="center"/>
      </w:pPr>
    </w:p>
    <w:p w14:paraId="7A466C37" w14:textId="77777777" w:rsidR="009D1B35" w:rsidRDefault="009D1B35" w:rsidP="009D1B35">
      <w:pPr>
        <w:pStyle w:val="Default"/>
        <w:jc w:val="center"/>
      </w:pPr>
    </w:p>
    <w:p w14:paraId="7AB269FF" w14:textId="77777777" w:rsidR="009D1B35" w:rsidRDefault="009D1B35" w:rsidP="009D1B35">
      <w:pPr>
        <w:pStyle w:val="Default"/>
        <w:jc w:val="center"/>
      </w:pPr>
    </w:p>
    <w:p w14:paraId="29994AC2" w14:textId="77777777" w:rsidR="009D1B35" w:rsidRDefault="009D1B35" w:rsidP="009D1B35">
      <w:pPr>
        <w:pStyle w:val="Default"/>
        <w:jc w:val="center"/>
      </w:pPr>
    </w:p>
    <w:p w14:paraId="78D5B656" w14:textId="77777777" w:rsidR="009D1B35" w:rsidRDefault="009D1B35" w:rsidP="009D1B35">
      <w:pPr>
        <w:pStyle w:val="Default"/>
        <w:jc w:val="center"/>
      </w:pPr>
    </w:p>
    <w:p w14:paraId="39C0F47C" w14:textId="77777777" w:rsidR="009D1B35" w:rsidRDefault="009D1B35" w:rsidP="009D1B35">
      <w:pPr>
        <w:pStyle w:val="Default"/>
        <w:jc w:val="center"/>
      </w:pPr>
    </w:p>
    <w:p w14:paraId="3A6FFA9C" w14:textId="77777777" w:rsidR="009D1B35" w:rsidRDefault="009D1B35" w:rsidP="009D1B35">
      <w:pPr>
        <w:pStyle w:val="Default"/>
        <w:jc w:val="center"/>
      </w:pPr>
    </w:p>
    <w:p w14:paraId="74EE0A09" w14:textId="77777777" w:rsidR="009D1B35" w:rsidRDefault="009D1B35" w:rsidP="009D1B35">
      <w:pPr>
        <w:pStyle w:val="Default"/>
        <w:jc w:val="center"/>
      </w:pPr>
    </w:p>
    <w:p w14:paraId="6B03F387" w14:textId="77777777" w:rsidR="009D1B35" w:rsidRDefault="009D1B35" w:rsidP="009D1B35">
      <w:pPr>
        <w:pStyle w:val="Default"/>
        <w:jc w:val="center"/>
      </w:pPr>
    </w:p>
    <w:p w14:paraId="11A2706A" w14:textId="77777777" w:rsidR="009D1B35" w:rsidRDefault="009D1B35" w:rsidP="009D1B35">
      <w:pPr>
        <w:pStyle w:val="Default"/>
        <w:jc w:val="center"/>
      </w:pPr>
    </w:p>
    <w:p w14:paraId="1FBF5B6A" w14:textId="77777777" w:rsidR="009D1B35" w:rsidRDefault="009D1B35" w:rsidP="009D1B35">
      <w:pPr>
        <w:pStyle w:val="Default"/>
        <w:jc w:val="center"/>
      </w:pPr>
    </w:p>
    <w:p w14:paraId="0B22C13C" w14:textId="77777777" w:rsidR="009D1B35" w:rsidRDefault="009D1B35" w:rsidP="009D1B35">
      <w:pPr>
        <w:pStyle w:val="Default"/>
        <w:jc w:val="center"/>
      </w:pPr>
    </w:p>
    <w:p w14:paraId="4F5BD876" w14:textId="77777777" w:rsidR="009D1B35" w:rsidRDefault="009D1B35" w:rsidP="009D1B35">
      <w:pPr>
        <w:pStyle w:val="Default"/>
        <w:jc w:val="center"/>
      </w:pPr>
    </w:p>
    <w:p w14:paraId="069D8115" w14:textId="77777777" w:rsidR="009D1B35" w:rsidRDefault="009D1B35" w:rsidP="009D1B35">
      <w:pPr>
        <w:pStyle w:val="Default"/>
        <w:jc w:val="center"/>
      </w:pPr>
    </w:p>
    <w:p w14:paraId="636DC53D" w14:textId="77777777" w:rsidR="009D1B35" w:rsidRDefault="009D1B35" w:rsidP="009D1B35">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HEDEF PORTFÖY KISA VADELİ SERBEST (TL) FON</w:t>
      </w:r>
      <w:r>
        <w:rPr>
          <w:rStyle w:val="eop"/>
          <w:rFonts w:ascii="Arial Narrow" w:hAnsi="Arial Narrow" w:cs="Segoe UI"/>
          <w:sz w:val="22"/>
          <w:szCs w:val="22"/>
        </w:rPr>
        <w:t> </w:t>
      </w:r>
    </w:p>
    <w:p w14:paraId="0534A15C" w14:textId="77777777" w:rsidR="009D1B35" w:rsidRDefault="009D1B35" w:rsidP="009D1B35">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 2024 TARİHİ İTİBARIYLA</w:t>
      </w:r>
    </w:p>
    <w:p w14:paraId="4F1F04FD" w14:textId="77777777" w:rsidR="009D1B35" w:rsidRDefault="009D1B35" w:rsidP="009D1B35">
      <w:pPr>
        <w:pStyle w:val="Default"/>
        <w:jc w:val="center"/>
        <w:rPr>
          <w:rFonts w:ascii="Arial Narrow" w:hAnsi="Arial Narrow" w:cstheme="minorBidi"/>
          <w:color w:val="auto"/>
          <w:sz w:val="22"/>
          <w:szCs w:val="22"/>
        </w:rPr>
      </w:pPr>
      <w:r>
        <w:rPr>
          <w:rFonts w:ascii="Arial Narrow" w:hAnsi="Arial Narrow" w:cstheme="minorBidi"/>
          <w:color w:val="auto"/>
          <w:sz w:val="22"/>
          <w:szCs w:val="22"/>
        </w:rPr>
        <w:t>YATIRIM PERFORMANSI KONUSUNDA</w:t>
      </w:r>
    </w:p>
    <w:p w14:paraId="740F2B15" w14:textId="77777777" w:rsidR="009D1B35" w:rsidRDefault="009D1B35" w:rsidP="009D1B35">
      <w:pPr>
        <w:tabs>
          <w:tab w:val="left" w:pos="2730"/>
        </w:tabs>
        <w:jc w:val="center"/>
        <w:rPr>
          <w:rFonts w:ascii="Arial Narrow" w:hAnsi="Arial Narrow"/>
        </w:rPr>
      </w:pPr>
      <w:r>
        <w:rPr>
          <w:rFonts w:ascii="Arial Narrow" w:hAnsi="Arial Narrow"/>
        </w:rPr>
        <w:t>KAMUYA AÇIKLANAN BİLGİLERE İLİŞKİN RAPOR</w:t>
      </w:r>
    </w:p>
    <w:p w14:paraId="04F4C848" w14:textId="77777777" w:rsidR="009D1B35" w:rsidRDefault="009D1B35" w:rsidP="009D1B35"/>
    <w:p w14:paraId="12DF7FD2" w14:textId="77777777" w:rsidR="009D1B35" w:rsidRDefault="009D1B35" w:rsidP="00621CF3">
      <w:pPr>
        <w:spacing w:after="0"/>
        <w:rPr>
          <w:rFonts w:ascii="Times New Roman" w:hAnsi="Times New Roman" w:cs="Times New Roman"/>
        </w:rPr>
        <w:sectPr w:rsidR="009D1B35" w:rsidSect="008A60CB">
          <w:headerReference w:type="default" r:id="rId11"/>
          <w:pgSz w:w="11906" w:h="16838"/>
          <w:pgMar w:top="1417" w:right="1417" w:bottom="1417" w:left="1417" w:header="708" w:footer="708" w:gutter="0"/>
          <w:cols w:space="708"/>
          <w:titlePg/>
          <w:docGrid w:linePitch="360"/>
        </w:sectPr>
      </w:pPr>
    </w:p>
    <w:p w14:paraId="716E1993" w14:textId="77777777" w:rsidR="009D1B35" w:rsidRDefault="009D1B35" w:rsidP="009D1B35">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27D80501" w14:textId="77777777" w:rsidR="009D1B35" w:rsidRDefault="009D1B35" w:rsidP="009D1B35">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2544C0B8" w14:textId="77777777" w:rsidR="009D1B35" w:rsidRDefault="009D1B35" w:rsidP="009D1B35">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59A22603" w14:textId="77777777" w:rsidR="009D1B35" w:rsidRDefault="009D1B35" w:rsidP="009D1B35">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3C9932C2" w14:textId="77777777" w:rsidR="009D1B35" w:rsidRDefault="009D1B35" w:rsidP="009D1B35">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p>
    <w:p w14:paraId="68836C03" w14:textId="77777777" w:rsidR="009D1B35" w:rsidRDefault="009D1B35" w:rsidP="009D1B35">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HEDEF PORTFÖY KISA VADELİ SERBEST (TL) FON</w:t>
      </w:r>
    </w:p>
    <w:p w14:paraId="14D38DBA" w14:textId="77777777" w:rsidR="009D1B35" w:rsidRDefault="009D1B35" w:rsidP="009D1B35">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12F0DBDC" w14:textId="77777777" w:rsidR="009D1B35" w:rsidRDefault="009D1B35" w:rsidP="009D1B35">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3D2F3EBE"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886E539"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Hedef Portföy Kısa Vadeli Serbest (TL) Fon’un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4A14B29E"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7153B5B"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2492D160"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F771602"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0694252B"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C629F4F"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6E869ED8" w14:textId="77777777" w:rsidR="009D1B35" w:rsidRDefault="009D1B35" w:rsidP="009D1B35">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3D88BC21"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41A61AF9"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C65AC42"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38E25BD"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7F4A7B41"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67676446"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47EAE6B"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AF6024F"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bookmarkStart w:id="0" w:name="_GoBack"/>
      <w:bookmarkEnd w:id="0"/>
    </w:p>
    <w:p w14:paraId="1AC35676"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2D8A477"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C2A3A87"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B1429F4"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2F9A5879"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4F40E3D6"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7716655" w14:textId="77777777" w:rsidR="009D1B35" w:rsidRDefault="009D1B35" w:rsidP="009D1B35">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1B03B051" w14:textId="77777777" w:rsidR="009D1B35" w:rsidRDefault="009D1B35" w:rsidP="00621CF3">
      <w:pPr>
        <w:spacing w:after="0"/>
        <w:rPr>
          <w:rFonts w:ascii="Times New Roman" w:hAnsi="Times New Roman" w:cs="Times New Roman"/>
        </w:rPr>
        <w:sectPr w:rsidR="009D1B35" w:rsidSect="008A60CB">
          <w:headerReference w:type="first" r:id="rId12"/>
          <w:pgSz w:w="11906" w:h="16838"/>
          <w:pgMar w:top="1417" w:right="1417" w:bottom="1417" w:left="1417" w:header="708" w:footer="708" w:gutter="0"/>
          <w:cols w:space="708"/>
          <w:titlePg/>
          <w:docGrid w:linePitch="360"/>
        </w:sectPr>
      </w:pPr>
    </w:p>
    <w:p w14:paraId="40BF73F2" w14:textId="2337494C" w:rsidR="004E72E0" w:rsidRPr="00AD2630" w:rsidRDefault="004E72E0" w:rsidP="00621CF3">
      <w:pPr>
        <w:spacing w:after="0"/>
        <w:rPr>
          <w:rFonts w:ascii="Times New Roman" w:hAnsi="Times New Roman" w:cs="Times New Roman"/>
        </w:rPr>
      </w:pPr>
    </w:p>
    <w:p w14:paraId="0BCFE8F4" w14:textId="77777777" w:rsidR="006C07D6" w:rsidRPr="00AD2630" w:rsidRDefault="006C07D6" w:rsidP="00621CF3">
      <w:pPr>
        <w:spacing w:after="0"/>
        <w:rPr>
          <w:rFonts w:ascii="Times New Roman" w:hAnsi="Times New Roman" w:cs="Times New Roman"/>
        </w:rPr>
      </w:pPr>
    </w:p>
    <w:p w14:paraId="42288A8B" w14:textId="77777777" w:rsidR="00032E31" w:rsidRPr="00AD2630" w:rsidRDefault="00032E31" w:rsidP="00621CF3">
      <w:pPr>
        <w:spacing w:after="0"/>
        <w:rPr>
          <w:rFonts w:ascii="Times New Roman" w:hAnsi="Times New Roman" w:cs="Times New Roman"/>
        </w:rPr>
      </w:pPr>
    </w:p>
    <w:p w14:paraId="2857CF4A" w14:textId="77777777" w:rsidR="00032E31" w:rsidRPr="00AD2630" w:rsidRDefault="00032E31" w:rsidP="00621CF3">
      <w:pPr>
        <w:spacing w:after="0"/>
        <w:rPr>
          <w:rFonts w:ascii="Times New Roman" w:hAnsi="Times New Roman" w:cs="Times New Roman"/>
        </w:rPr>
      </w:pPr>
    </w:p>
    <w:p w14:paraId="4BB806B9" w14:textId="77777777" w:rsidR="00032E31" w:rsidRPr="00AD2630" w:rsidRDefault="00032E31" w:rsidP="00621CF3">
      <w:pPr>
        <w:spacing w:after="0"/>
        <w:rPr>
          <w:rFonts w:ascii="Times New Roman" w:hAnsi="Times New Roman" w:cs="Times New Roman"/>
        </w:rPr>
      </w:pPr>
    </w:p>
    <w:p w14:paraId="6DE6D3ED" w14:textId="77777777" w:rsidR="00032E31" w:rsidRDefault="00032E31" w:rsidP="00621CF3">
      <w:pPr>
        <w:spacing w:after="0"/>
        <w:rPr>
          <w:rFonts w:ascii="Times New Roman" w:hAnsi="Times New Roman" w:cs="Times New Roman"/>
        </w:rPr>
      </w:pPr>
    </w:p>
    <w:p w14:paraId="118C1384" w14:textId="77777777" w:rsidR="009D1B35" w:rsidRDefault="009D1B35" w:rsidP="00621CF3">
      <w:pPr>
        <w:spacing w:after="0"/>
        <w:rPr>
          <w:rFonts w:ascii="Times New Roman" w:hAnsi="Times New Roman" w:cs="Times New Roman"/>
        </w:rPr>
      </w:pPr>
    </w:p>
    <w:p w14:paraId="45D570F7" w14:textId="77777777" w:rsidR="009D1B35" w:rsidRDefault="009D1B35" w:rsidP="00621CF3">
      <w:pPr>
        <w:spacing w:after="0"/>
        <w:rPr>
          <w:rFonts w:ascii="Times New Roman" w:hAnsi="Times New Roman" w:cs="Times New Roman"/>
        </w:rPr>
      </w:pPr>
    </w:p>
    <w:p w14:paraId="285B8E8C" w14:textId="77777777" w:rsidR="009D1B35" w:rsidRDefault="009D1B35" w:rsidP="00621CF3">
      <w:pPr>
        <w:spacing w:after="0"/>
        <w:rPr>
          <w:rFonts w:ascii="Times New Roman" w:hAnsi="Times New Roman" w:cs="Times New Roman"/>
        </w:rPr>
      </w:pPr>
    </w:p>
    <w:p w14:paraId="5B784A07" w14:textId="77777777" w:rsidR="009D1B35" w:rsidRDefault="009D1B35" w:rsidP="00621CF3">
      <w:pPr>
        <w:spacing w:after="0"/>
        <w:rPr>
          <w:rFonts w:ascii="Times New Roman" w:hAnsi="Times New Roman" w:cs="Times New Roman"/>
        </w:rPr>
      </w:pPr>
    </w:p>
    <w:p w14:paraId="30BCDF16" w14:textId="77777777" w:rsidR="009D1B35" w:rsidRDefault="009D1B35" w:rsidP="00621CF3">
      <w:pPr>
        <w:spacing w:after="0"/>
        <w:rPr>
          <w:rFonts w:ascii="Times New Roman" w:hAnsi="Times New Roman" w:cs="Times New Roman"/>
        </w:rPr>
      </w:pPr>
    </w:p>
    <w:p w14:paraId="58C72216" w14:textId="77777777" w:rsidR="009D1B35" w:rsidRDefault="009D1B35" w:rsidP="00621CF3">
      <w:pPr>
        <w:spacing w:after="0"/>
        <w:rPr>
          <w:rFonts w:ascii="Times New Roman" w:hAnsi="Times New Roman" w:cs="Times New Roman"/>
        </w:rPr>
      </w:pPr>
    </w:p>
    <w:p w14:paraId="6E82A2F3" w14:textId="77777777" w:rsidR="009D1B35" w:rsidRDefault="009D1B35" w:rsidP="00621CF3">
      <w:pPr>
        <w:spacing w:after="0"/>
        <w:rPr>
          <w:rFonts w:ascii="Times New Roman" w:hAnsi="Times New Roman" w:cs="Times New Roman"/>
        </w:rPr>
      </w:pPr>
    </w:p>
    <w:p w14:paraId="6A7390B0" w14:textId="77777777" w:rsidR="009D1B35" w:rsidRPr="00AD2630" w:rsidRDefault="009D1B35" w:rsidP="00621CF3">
      <w:pPr>
        <w:spacing w:after="0"/>
        <w:rPr>
          <w:rFonts w:ascii="Times New Roman" w:hAnsi="Times New Roman" w:cs="Times New Roman"/>
        </w:rPr>
      </w:pPr>
    </w:p>
    <w:p w14:paraId="4B5D1A71" w14:textId="77777777" w:rsidR="00032E31" w:rsidRPr="00AD2630" w:rsidRDefault="00032E31" w:rsidP="00621CF3">
      <w:pPr>
        <w:spacing w:after="0"/>
        <w:rPr>
          <w:rFonts w:ascii="Times New Roman" w:hAnsi="Times New Roman" w:cs="Times New Roman"/>
        </w:rPr>
      </w:pPr>
    </w:p>
    <w:p w14:paraId="4DCC37E4" w14:textId="77777777" w:rsidR="00032E31" w:rsidRPr="00AD2630" w:rsidRDefault="00032E31" w:rsidP="00621CF3">
      <w:pPr>
        <w:spacing w:after="0"/>
        <w:rPr>
          <w:rFonts w:ascii="Times New Roman" w:hAnsi="Times New Roman" w:cs="Times New Roman"/>
        </w:rPr>
      </w:pPr>
    </w:p>
    <w:p w14:paraId="2E8913AD" w14:textId="77777777" w:rsidR="00032E31" w:rsidRPr="00AD2630" w:rsidRDefault="00032E31" w:rsidP="00621CF3">
      <w:pPr>
        <w:spacing w:after="0"/>
        <w:rPr>
          <w:rFonts w:ascii="Times New Roman" w:hAnsi="Times New Roman" w:cs="Times New Roman"/>
        </w:rPr>
      </w:pPr>
    </w:p>
    <w:p w14:paraId="5BC49243" w14:textId="77777777" w:rsidR="00032E31" w:rsidRPr="00AD2630" w:rsidRDefault="00032E31" w:rsidP="00621CF3">
      <w:pPr>
        <w:spacing w:after="0"/>
        <w:rPr>
          <w:rFonts w:ascii="Times New Roman" w:hAnsi="Times New Roman" w:cs="Times New Roman"/>
        </w:rPr>
      </w:pPr>
    </w:p>
    <w:p w14:paraId="1F2BF9F2" w14:textId="77777777" w:rsidR="006C07D6" w:rsidRPr="00AD2630" w:rsidRDefault="006C07D6" w:rsidP="00621CF3">
      <w:pPr>
        <w:spacing w:after="0"/>
        <w:rPr>
          <w:rFonts w:ascii="Times New Roman" w:hAnsi="Times New Roman" w:cs="Times New Roman"/>
        </w:rPr>
      </w:pPr>
    </w:p>
    <w:p w14:paraId="75207813" w14:textId="77777777" w:rsidR="006C07D6" w:rsidRPr="00AD2630" w:rsidRDefault="006C07D6" w:rsidP="00621CF3">
      <w:pPr>
        <w:spacing w:after="0"/>
        <w:rPr>
          <w:rFonts w:ascii="Times New Roman" w:hAnsi="Times New Roman" w:cs="Times New Roman"/>
          <w:sz w:val="24"/>
          <w:szCs w:val="24"/>
        </w:rPr>
      </w:pPr>
    </w:p>
    <w:p w14:paraId="3DBCE6AD" w14:textId="6B4F6B5B" w:rsidR="00AD2630" w:rsidRPr="00AD2630" w:rsidRDefault="00AD2630" w:rsidP="00AD2630">
      <w:pPr>
        <w:pStyle w:val="Heading1"/>
        <w:ind w:left="284" w:right="261"/>
        <w:jc w:val="center"/>
      </w:pPr>
      <w:r w:rsidRPr="00AD2630">
        <w:rPr>
          <w:lang w:eastAsia="tr-TR"/>
        </w:rPr>
        <w:t>HEDEF PORTFÖY KISA VADELİ SERBEST (TL) FON</w:t>
      </w:r>
    </w:p>
    <w:p w14:paraId="41D4027C" w14:textId="77777777" w:rsidR="00621CF3" w:rsidRPr="00AD2630" w:rsidRDefault="00621CF3" w:rsidP="00621CF3">
      <w:pPr>
        <w:spacing w:after="0"/>
        <w:jc w:val="center"/>
        <w:rPr>
          <w:rFonts w:ascii="Times New Roman" w:hAnsi="Times New Roman" w:cs="Times New Roman"/>
          <w:sz w:val="24"/>
          <w:szCs w:val="24"/>
        </w:rPr>
      </w:pPr>
    </w:p>
    <w:p w14:paraId="7D7018FF" w14:textId="2449DCA2" w:rsidR="00621CF3" w:rsidRPr="00AD2630" w:rsidRDefault="00FC0178" w:rsidP="00621CF3">
      <w:pPr>
        <w:spacing w:after="0"/>
        <w:jc w:val="center"/>
        <w:rPr>
          <w:rFonts w:ascii="Times New Roman" w:hAnsi="Times New Roman" w:cs="Times New Roman"/>
          <w:sz w:val="24"/>
          <w:szCs w:val="24"/>
        </w:rPr>
      </w:pPr>
      <w:r w:rsidRPr="00FC0178">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AD2630">
        <w:rPr>
          <w:rFonts w:ascii="Times New Roman" w:hAnsi="Times New Roman" w:cs="Times New Roman"/>
          <w:sz w:val="24"/>
          <w:szCs w:val="24"/>
        </w:rPr>
        <w:t xml:space="preserve">DÖNEMİNE AİT </w:t>
      </w:r>
    </w:p>
    <w:p w14:paraId="507BF98E" w14:textId="0AA59EDA" w:rsidR="00621CF3" w:rsidRPr="00AD2630" w:rsidRDefault="00621CF3" w:rsidP="00621CF3">
      <w:pPr>
        <w:spacing w:after="0"/>
        <w:jc w:val="center"/>
        <w:rPr>
          <w:rFonts w:ascii="Times New Roman" w:hAnsi="Times New Roman" w:cs="Times New Roman"/>
          <w:sz w:val="24"/>
          <w:szCs w:val="24"/>
        </w:rPr>
      </w:pPr>
      <w:r w:rsidRPr="00AD2630">
        <w:rPr>
          <w:rFonts w:ascii="Times New Roman" w:hAnsi="Times New Roman" w:cs="Times New Roman"/>
          <w:sz w:val="24"/>
          <w:szCs w:val="24"/>
        </w:rPr>
        <w:t>PERFORMANS SUNU</w:t>
      </w:r>
      <w:r w:rsidR="007403AA" w:rsidRPr="00AD2630">
        <w:rPr>
          <w:rFonts w:ascii="Times New Roman" w:hAnsi="Times New Roman" w:cs="Times New Roman"/>
          <w:sz w:val="24"/>
          <w:szCs w:val="24"/>
        </w:rPr>
        <w:t>M</w:t>
      </w:r>
      <w:r w:rsidRPr="00AD2630">
        <w:rPr>
          <w:rFonts w:ascii="Times New Roman" w:hAnsi="Times New Roman" w:cs="Times New Roman"/>
          <w:sz w:val="24"/>
          <w:szCs w:val="24"/>
        </w:rPr>
        <w:t xml:space="preserve"> RAPORU</w:t>
      </w:r>
    </w:p>
    <w:p w14:paraId="3F218D6F" w14:textId="77777777" w:rsidR="00621CF3" w:rsidRPr="00AD2630" w:rsidRDefault="00621CF3" w:rsidP="00621CF3">
      <w:pPr>
        <w:spacing w:after="0"/>
        <w:jc w:val="center"/>
        <w:rPr>
          <w:rFonts w:ascii="Times New Roman" w:hAnsi="Times New Roman" w:cs="Times New Roman"/>
          <w:sz w:val="24"/>
          <w:szCs w:val="24"/>
        </w:rPr>
      </w:pPr>
    </w:p>
    <w:p w14:paraId="053BB4CB" w14:textId="77777777" w:rsidR="00621CF3" w:rsidRPr="00AD2630" w:rsidRDefault="00621CF3" w:rsidP="00621CF3">
      <w:pPr>
        <w:spacing w:after="0"/>
        <w:jc w:val="center"/>
        <w:rPr>
          <w:rFonts w:ascii="Times New Roman" w:hAnsi="Times New Roman" w:cs="Times New Roman"/>
          <w:sz w:val="24"/>
          <w:szCs w:val="24"/>
        </w:rPr>
      </w:pPr>
    </w:p>
    <w:p w14:paraId="5E937E93" w14:textId="77777777" w:rsidR="00621CF3" w:rsidRPr="00AD2630" w:rsidRDefault="00621CF3" w:rsidP="00621CF3">
      <w:pPr>
        <w:spacing w:after="0"/>
        <w:jc w:val="center"/>
        <w:rPr>
          <w:rFonts w:ascii="Times New Roman" w:hAnsi="Times New Roman" w:cs="Times New Roman"/>
          <w:sz w:val="24"/>
          <w:szCs w:val="24"/>
        </w:rPr>
      </w:pPr>
    </w:p>
    <w:p w14:paraId="5B6BBB65" w14:textId="77777777" w:rsidR="00621CF3" w:rsidRPr="00AD2630" w:rsidRDefault="00621CF3" w:rsidP="00621CF3">
      <w:pPr>
        <w:spacing w:after="0"/>
        <w:jc w:val="center"/>
        <w:rPr>
          <w:rFonts w:ascii="Times New Roman" w:hAnsi="Times New Roman" w:cs="Times New Roman"/>
          <w:sz w:val="24"/>
          <w:szCs w:val="24"/>
        </w:rPr>
      </w:pPr>
    </w:p>
    <w:p w14:paraId="4F010468" w14:textId="77777777" w:rsidR="00621CF3" w:rsidRPr="00AD2630" w:rsidRDefault="00621CF3" w:rsidP="00621CF3">
      <w:pPr>
        <w:spacing w:after="0"/>
        <w:jc w:val="center"/>
        <w:rPr>
          <w:rFonts w:ascii="Times New Roman" w:hAnsi="Times New Roman" w:cs="Times New Roman"/>
          <w:sz w:val="24"/>
          <w:szCs w:val="24"/>
        </w:rPr>
      </w:pPr>
    </w:p>
    <w:p w14:paraId="7512E724" w14:textId="77777777" w:rsidR="00621CF3" w:rsidRPr="00AD2630" w:rsidRDefault="00621CF3" w:rsidP="00621CF3">
      <w:pPr>
        <w:spacing w:after="0"/>
        <w:jc w:val="center"/>
        <w:rPr>
          <w:rFonts w:ascii="Times New Roman" w:hAnsi="Times New Roman" w:cs="Times New Roman"/>
          <w:sz w:val="24"/>
          <w:szCs w:val="24"/>
        </w:rPr>
      </w:pPr>
    </w:p>
    <w:p w14:paraId="713A365A" w14:textId="77777777" w:rsidR="00621CF3" w:rsidRPr="00AD2630" w:rsidRDefault="00621CF3" w:rsidP="00621CF3">
      <w:pPr>
        <w:spacing w:after="0"/>
        <w:jc w:val="center"/>
        <w:rPr>
          <w:rFonts w:ascii="Times New Roman" w:hAnsi="Times New Roman" w:cs="Times New Roman"/>
          <w:sz w:val="24"/>
          <w:szCs w:val="24"/>
        </w:rPr>
      </w:pPr>
    </w:p>
    <w:p w14:paraId="614418A6" w14:textId="77777777" w:rsidR="00621CF3" w:rsidRPr="00AD2630" w:rsidRDefault="00621CF3" w:rsidP="00621CF3">
      <w:pPr>
        <w:spacing w:after="0"/>
        <w:jc w:val="center"/>
        <w:rPr>
          <w:rFonts w:ascii="Times New Roman" w:hAnsi="Times New Roman" w:cs="Times New Roman"/>
          <w:sz w:val="24"/>
          <w:szCs w:val="24"/>
        </w:rPr>
      </w:pPr>
    </w:p>
    <w:p w14:paraId="1F85F09D" w14:textId="77777777" w:rsidR="00621CF3" w:rsidRPr="00AD2630" w:rsidRDefault="00621CF3" w:rsidP="00621CF3">
      <w:pPr>
        <w:spacing w:after="0"/>
        <w:jc w:val="center"/>
        <w:rPr>
          <w:rFonts w:ascii="Times New Roman" w:hAnsi="Times New Roman" w:cs="Times New Roman"/>
          <w:sz w:val="24"/>
          <w:szCs w:val="24"/>
        </w:rPr>
      </w:pPr>
    </w:p>
    <w:p w14:paraId="706C75E6" w14:textId="77777777" w:rsidR="00621CF3" w:rsidRPr="00AD2630" w:rsidRDefault="00621CF3" w:rsidP="00621CF3">
      <w:pPr>
        <w:spacing w:after="0"/>
        <w:jc w:val="center"/>
        <w:rPr>
          <w:rFonts w:ascii="Times New Roman" w:hAnsi="Times New Roman" w:cs="Times New Roman"/>
          <w:sz w:val="24"/>
          <w:szCs w:val="24"/>
        </w:rPr>
      </w:pPr>
    </w:p>
    <w:p w14:paraId="0BF3E19C" w14:textId="77777777" w:rsidR="00621CF3" w:rsidRPr="00AD2630" w:rsidRDefault="00621CF3" w:rsidP="00621CF3">
      <w:pPr>
        <w:spacing w:after="0"/>
        <w:jc w:val="center"/>
        <w:rPr>
          <w:rFonts w:ascii="Times New Roman" w:hAnsi="Times New Roman" w:cs="Times New Roman"/>
          <w:sz w:val="24"/>
          <w:szCs w:val="24"/>
        </w:rPr>
      </w:pPr>
    </w:p>
    <w:p w14:paraId="2622C443" w14:textId="77777777" w:rsidR="00621CF3" w:rsidRPr="00AD2630" w:rsidRDefault="00621CF3" w:rsidP="00621CF3">
      <w:pPr>
        <w:spacing w:after="0"/>
        <w:jc w:val="center"/>
        <w:rPr>
          <w:rFonts w:ascii="Times New Roman" w:hAnsi="Times New Roman" w:cs="Times New Roman"/>
          <w:sz w:val="24"/>
          <w:szCs w:val="24"/>
        </w:rPr>
      </w:pPr>
    </w:p>
    <w:p w14:paraId="1ED006B9" w14:textId="77777777" w:rsidR="00621CF3" w:rsidRPr="00AD2630" w:rsidRDefault="00621CF3" w:rsidP="00621CF3">
      <w:pPr>
        <w:spacing w:after="0"/>
        <w:jc w:val="center"/>
        <w:rPr>
          <w:rFonts w:ascii="Times New Roman" w:hAnsi="Times New Roman" w:cs="Times New Roman"/>
          <w:sz w:val="24"/>
          <w:szCs w:val="24"/>
        </w:rPr>
      </w:pPr>
    </w:p>
    <w:p w14:paraId="2D9EAC84" w14:textId="77777777" w:rsidR="00AD4058" w:rsidRPr="00AD2630" w:rsidRDefault="00AD4058" w:rsidP="00621CF3">
      <w:pPr>
        <w:spacing w:after="0"/>
        <w:jc w:val="center"/>
        <w:rPr>
          <w:rFonts w:ascii="Times New Roman" w:hAnsi="Times New Roman" w:cs="Times New Roman"/>
          <w:sz w:val="24"/>
          <w:szCs w:val="24"/>
        </w:rPr>
      </w:pPr>
    </w:p>
    <w:p w14:paraId="04CB472B" w14:textId="77777777" w:rsidR="00621CF3" w:rsidRPr="00AD2630" w:rsidRDefault="00621CF3" w:rsidP="00621CF3">
      <w:pPr>
        <w:spacing w:after="0"/>
        <w:jc w:val="center"/>
        <w:rPr>
          <w:rFonts w:ascii="Times New Roman" w:hAnsi="Times New Roman" w:cs="Times New Roman"/>
          <w:sz w:val="24"/>
          <w:szCs w:val="24"/>
        </w:rPr>
      </w:pPr>
    </w:p>
    <w:p w14:paraId="0575E948" w14:textId="77777777" w:rsidR="00621CF3" w:rsidRPr="00AD2630" w:rsidRDefault="00621CF3" w:rsidP="00621CF3">
      <w:pPr>
        <w:spacing w:after="0"/>
        <w:jc w:val="center"/>
        <w:rPr>
          <w:rFonts w:ascii="Times New Roman" w:hAnsi="Times New Roman" w:cs="Times New Roman"/>
          <w:sz w:val="24"/>
          <w:szCs w:val="24"/>
        </w:rPr>
      </w:pPr>
    </w:p>
    <w:p w14:paraId="17832C86" w14:textId="77777777" w:rsidR="00621CF3" w:rsidRPr="00AD2630" w:rsidRDefault="00621CF3" w:rsidP="00621CF3">
      <w:pPr>
        <w:spacing w:after="0"/>
        <w:jc w:val="center"/>
        <w:rPr>
          <w:rFonts w:ascii="Times New Roman" w:hAnsi="Times New Roman" w:cs="Times New Roman"/>
          <w:sz w:val="24"/>
          <w:szCs w:val="24"/>
        </w:rPr>
      </w:pPr>
    </w:p>
    <w:p w14:paraId="1E4FE174" w14:textId="77777777" w:rsidR="00621CF3" w:rsidRPr="00AD2630" w:rsidRDefault="00621CF3" w:rsidP="00621CF3">
      <w:pPr>
        <w:spacing w:after="0"/>
        <w:jc w:val="center"/>
        <w:rPr>
          <w:rFonts w:ascii="Times New Roman" w:hAnsi="Times New Roman" w:cs="Times New Roman"/>
          <w:sz w:val="24"/>
          <w:szCs w:val="24"/>
        </w:rPr>
      </w:pPr>
    </w:p>
    <w:p w14:paraId="7988F1A2" w14:textId="77777777" w:rsidR="00621CF3" w:rsidRPr="00AD2630"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25BF60D" w14:textId="77777777" w:rsidR="00587C61" w:rsidRDefault="00587C61" w:rsidP="00621CF3">
      <w:pPr>
        <w:spacing w:after="0"/>
        <w:jc w:val="center"/>
        <w:rPr>
          <w:rFonts w:ascii="Times New Roman" w:hAnsi="Times New Roman" w:cs="Times New Roman"/>
          <w:sz w:val="24"/>
          <w:szCs w:val="24"/>
        </w:rPr>
      </w:pPr>
    </w:p>
    <w:p w14:paraId="3985D488" w14:textId="77777777" w:rsidR="00587C61" w:rsidRPr="00AD2630" w:rsidRDefault="00587C61" w:rsidP="00621CF3">
      <w:pPr>
        <w:spacing w:after="0"/>
        <w:jc w:val="center"/>
        <w:rPr>
          <w:rFonts w:ascii="Times New Roman" w:hAnsi="Times New Roman" w:cs="Times New Roman"/>
          <w:sz w:val="24"/>
          <w:szCs w:val="24"/>
        </w:rPr>
      </w:pPr>
    </w:p>
    <w:p w14:paraId="5581CFA9" w14:textId="77777777" w:rsidR="00621CF3" w:rsidRPr="00AD2630" w:rsidRDefault="00621CF3" w:rsidP="00621CF3">
      <w:pPr>
        <w:spacing w:after="0"/>
        <w:jc w:val="center"/>
        <w:rPr>
          <w:rFonts w:ascii="Times New Roman" w:hAnsi="Times New Roman" w:cs="Times New Roman"/>
          <w:sz w:val="24"/>
          <w:szCs w:val="24"/>
        </w:rPr>
      </w:pPr>
    </w:p>
    <w:p w14:paraId="70087CA1" w14:textId="77777777" w:rsidR="00621CF3" w:rsidRPr="00AD2630" w:rsidRDefault="00621CF3" w:rsidP="00621CF3">
      <w:pPr>
        <w:spacing w:after="0"/>
        <w:jc w:val="center"/>
        <w:rPr>
          <w:rFonts w:ascii="Times New Roman" w:hAnsi="Times New Roman" w:cs="Times New Roman"/>
          <w:sz w:val="24"/>
          <w:szCs w:val="24"/>
        </w:rPr>
      </w:pPr>
    </w:p>
    <w:p w14:paraId="36772C9F" w14:textId="77777777" w:rsidR="00621CF3" w:rsidRPr="00AD2630" w:rsidRDefault="00621CF3" w:rsidP="00621CF3">
      <w:pPr>
        <w:pStyle w:val="ListParagraph"/>
        <w:numPr>
          <w:ilvl w:val="0"/>
          <w:numId w:val="1"/>
        </w:numPr>
        <w:rPr>
          <w:rFonts w:ascii="Times New Roman" w:hAnsi="Times New Roman" w:cs="Times New Roman"/>
          <w:b/>
          <w:sz w:val="24"/>
          <w:szCs w:val="24"/>
        </w:rPr>
      </w:pPr>
      <w:r w:rsidRPr="00AD2630">
        <w:rPr>
          <w:rFonts w:ascii="Times New Roman" w:hAnsi="Times New Roman" w:cs="Times New Roman"/>
          <w:b/>
          <w:sz w:val="24"/>
          <w:szCs w:val="24"/>
        </w:rPr>
        <w:lastRenderedPageBreak/>
        <w:t>TANITICI BİLGİLER</w:t>
      </w:r>
    </w:p>
    <w:tbl>
      <w:tblPr>
        <w:tblStyle w:val="TableGrid"/>
        <w:tblW w:w="9180" w:type="dxa"/>
        <w:tblLook w:val="04A0" w:firstRow="1" w:lastRow="0" w:firstColumn="1" w:lastColumn="0" w:noHBand="0" w:noVBand="1"/>
      </w:tblPr>
      <w:tblGrid>
        <w:gridCol w:w="1819"/>
        <w:gridCol w:w="1716"/>
        <w:gridCol w:w="5645"/>
      </w:tblGrid>
      <w:tr w:rsidR="001B1348" w:rsidRPr="00AD2630" w14:paraId="1687B3A0" w14:textId="77777777" w:rsidTr="001A238C">
        <w:trPr>
          <w:trHeight w:val="818"/>
        </w:trPr>
        <w:tc>
          <w:tcPr>
            <w:tcW w:w="3535" w:type="dxa"/>
            <w:gridSpan w:val="2"/>
          </w:tcPr>
          <w:p w14:paraId="14F7997E" w14:textId="77777777" w:rsidR="001B1348" w:rsidRPr="00AD2630" w:rsidRDefault="001B1348" w:rsidP="001B1348">
            <w:pPr>
              <w:jc w:val="center"/>
              <w:rPr>
                <w:rFonts w:ascii="Times New Roman" w:hAnsi="Times New Roman" w:cs="Times New Roman"/>
                <w:b/>
                <w:sz w:val="24"/>
                <w:szCs w:val="24"/>
              </w:rPr>
            </w:pPr>
            <w:r w:rsidRPr="00AD2630">
              <w:rPr>
                <w:rFonts w:ascii="Times New Roman" w:hAnsi="Times New Roman" w:cs="Times New Roman"/>
                <w:b/>
                <w:sz w:val="24"/>
                <w:szCs w:val="24"/>
              </w:rPr>
              <w:t>PORTFÖYE BAKIŞ</w:t>
            </w:r>
          </w:p>
          <w:p w14:paraId="79C8466B" w14:textId="77777777" w:rsidR="001B1348" w:rsidRPr="00AD2630" w:rsidRDefault="001B1348" w:rsidP="001B1348">
            <w:pPr>
              <w:jc w:val="center"/>
              <w:rPr>
                <w:rFonts w:ascii="Times New Roman" w:hAnsi="Times New Roman" w:cs="Times New Roman"/>
                <w:sz w:val="24"/>
                <w:szCs w:val="24"/>
              </w:rPr>
            </w:pPr>
            <w:r w:rsidRPr="00AD2630">
              <w:rPr>
                <w:rFonts w:ascii="Times New Roman" w:hAnsi="Times New Roman" w:cs="Times New Roman"/>
                <w:sz w:val="24"/>
                <w:szCs w:val="24"/>
              </w:rPr>
              <w:t>Fon’un Halka Arz Tarihi:</w:t>
            </w:r>
          </w:p>
          <w:p w14:paraId="13427A4C" w14:textId="29FD59E3" w:rsidR="001B1348" w:rsidRPr="00AD2630" w:rsidRDefault="00AD2630" w:rsidP="001B1348">
            <w:pPr>
              <w:jc w:val="center"/>
              <w:rPr>
                <w:rFonts w:ascii="Times New Roman" w:hAnsi="Times New Roman" w:cs="Times New Roman"/>
                <w:sz w:val="24"/>
                <w:szCs w:val="24"/>
              </w:rPr>
            </w:pPr>
            <w:r w:rsidRPr="00AD2630">
              <w:rPr>
                <w:rFonts w:ascii="Times New Roman" w:hAnsi="Times New Roman" w:cs="Times New Roman"/>
                <w:sz w:val="24"/>
                <w:szCs w:val="24"/>
              </w:rPr>
              <w:t>1</w:t>
            </w:r>
            <w:r w:rsidR="00950E6A">
              <w:rPr>
                <w:rFonts w:ascii="Times New Roman" w:hAnsi="Times New Roman" w:cs="Times New Roman"/>
                <w:sz w:val="24"/>
                <w:szCs w:val="24"/>
              </w:rPr>
              <w:t>9</w:t>
            </w:r>
            <w:r w:rsidR="00EC6B0C">
              <w:rPr>
                <w:rFonts w:ascii="Times New Roman" w:hAnsi="Times New Roman" w:cs="Times New Roman"/>
                <w:sz w:val="24"/>
                <w:szCs w:val="24"/>
              </w:rPr>
              <w:t xml:space="preserve"> </w:t>
            </w:r>
            <w:r w:rsidRPr="00AD2630">
              <w:rPr>
                <w:rFonts w:ascii="Times New Roman" w:hAnsi="Times New Roman" w:cs="Times New Roman"/>
                <w:sz w:val="24"/>
                <w:szCs w:val="24"/>
              </w:rPr>
              <w:t>Haziran 2023</w:t>
            </w:r>
          </w:p>
        </w:tc>
        <w:tc>
          <w:tcPr>
            <w:tcW w:w="5645" w:type="dxa"/>
          </w:tcPr>
          <w:p w14:paraId="785A8029" w14:textId="77777777" w:rsidR="001B1348" w:rsidRPr="00AD2630" w:rsidRDefault="001B1348" w:rsidP="001B1348">
            <w:pPr>
              <w:jc w:val="center"/>
              <w:rPr>
                <w:rFonts w:ascii="Times New Roman" w:hAnsi="Times New Roman" w:cs="Times New Roman"/>
                <w:b/>
                <w:sz w:val="24"/>
                <w:szCs w:val="24"/>
              </w:rPr>
            </w:pPr>
          </w:p>
          <w:p w14:paraId="42F39AD5" w14:textId="77777777" w:rsidR="001B1348" w:rsidRPr="00AD2630" w:rsidRDefault="001B1348" w:rsidP="001B1348">
            <w:pPr>
              <w:jc w:val="center"/>
              <w:rPr>
                <w:rFonts w:ascii="Times New Roman" w:hAnsi="Times New Roman" w:cs="Times New Roman"/>
                <w:b/>
                <w:sz w:val="24"/>
                <w:szCs w:val="24"/>
              </w:rPr>
            </w:pPr>
            <w:r w:rsidRPr="00AD2630">
              <w:rPr>
                <w:rFonts w:ascii="Times New Roman" w:hAnsi="Times New Roman" w:cs="Times New Roman"/>
                <w:b/>
                <w:sz w:val="24"/>
                <w:szCs w:val="24"/>
              </w:rPr>
              <w:t>YATIRIM VE YÖNETİME İLİŞKİN BİLGİLER</w:t>
            </w:r>
          </w:p>
        </w:tc>
      </w:tr>
      <w:tr w:rsidR="001B1348" w:rsidRPr="00AD2630" w14:paraId="52D08609" w14:textId="77777777" w:rsidTr="001A238C">
        <w:trPr>
          <w:trHeight w:val="272"/>
        </w:trPr>
        <w:tc>
          <w:tcPr>
            <w:tcW w:w="3535" w:type="dxa"/>
            <w:gridSpan w:val="2"/>
          </w:tcPr>
          <w:p w14:paraId="6F02B738" w14:textId="37B82824" w:rsidR="001B1348" w:rsidRPr="00AD2630" w:rsidRDefault="001D0913" w:rsidP="007D75CD">
            <w:pPr>
              <w:jc w:val="center"/>
              <w:rPr>
                <w:rFonts w:ascii="Times New Roman" w:hAnsi="Times New Roman" w:cs="Times New Roman"/>
                <w:b/>
                <w:sz w:val="24"/>
                <w:szCs w:val="24"/>
              </w:rPr>
            </w:pPr>
            <w:r w:rsidRPr="001D0913">
              <w:rPr>
                <w:rFonts w:ascii="Times New Roman" w:hAnsi="Times New Roman" w:cs="Times New Roman"/>
                <w:b/>
                <w:sz w:val="24"/>
                <w:szCs w:val="24"/>
              </w:rPr>
              <w:t>30 Haziran 2024 itibariyle</w:t>
            </w:r>
          </w:p>
        </w:tc>
        <w:tc>
          <w:tcPr>
            <w:tcW w:w="5645" w:type="dxa"/>
          </w:tcPr>
          <w:p w14:paraId="563BE517" w14:textId="77777777" w:rsidR="001B1348" w:rsidRPr="00AD2630" w:rsidRDefault="001B1348" w:rsidP="001B1348">
            <w:pPr>
              <w:jc w:val="center"/>
              <w:rPr>
                <w:rFonts w:ascii="Times New Roman" w:hAnsi="Times New Roman" w:cs="Times New Roman"/>
                <w:b/>
                <w:sz w:val="24"/>
                <w:szCs w:val="24"/>
              </w:rPr>
            </w:pPr>
            <w:r w:rsidRPr="00AD2630">
              <w:rPr>
                <w:rFonts w:ascii="Times New Roman" w:hAnsi="Times New Roman" w:cs="Times New Roman"/>
                <w:b/>
                <w:sz w:val="24"/>
                <w:szCs w:val="24"/>
              </w:rPr>
              <w:t>Portföy Yöneticileri</w:t>
            </w:r>
          </w:p>
        </w:tc>
      </w:tr>
      <w:tr w:rsidR="001B1348" w:rsidRPr="00AD2630" w14:paraId="1C4CE836" w14:textId="77777777" w:rsidTr="001A238C">
        <w:trPr>
          <w:trHeight w:val="546"/>
        </w:trPr>
        <w:tc>
          <w:tcPr>
            <w:tcW w:w="1819" w:type="dxa"/>
          </w:tcPr>
          <w:p w14:paraId="24B2E994" w14:textId="77777777" w:rsidR="001B1348" w:rsidRPr="00AD2630" w:rsidRDefault="001B1348" w:rsidP="00A05B08">
            <w:pPr>
              <w:rPr>
                <w:rFonts w:ascii="Times New Roman" w:hAnsi="Times New Roman" w:cs="Times New Roman"/>
                <w:sz w:val="24"/>
                <w:szCs w:val="24"/>
              </w:rPr>
            </w:pPr>
            <w:r w:rsidRPr="00AD2630">
              <w:rPr>
                <w:rFonts w:ascii="Times New Roman" w:hAnsi="Times New Roman" w:cs="Times New Roman"/>
                <w:sz w:val="24"/>
                <w:szCs w:val="24"/>
              </w:rPr>
              <w:t>Fon Toplam Değeri</w:t>
            </w:r>
          </w:p>
        </w:tc>
        <w:tc>
          <w:tcPr>
            <w:tcW w:w="1716" w:type="dxa"/>
          </w:tcPr>
          <w:p w14:paraId="7EB7923A" w14:textId="7677ECFF" w:rsidR="001B1348" w:rsidRPr="00AD2630" w:rsidRDefault="0063220A" w:rsidP="00236423">
            <w:pPr>
              <w:jc w:val="right"/>
              <w:rPr>
                <w:rFonts w:ascii="Times New Roman" w:hAnsi="Times New Roman" w:cs="Times New Roman"/>
                <w:sz w:val="24"/>
                <w:szCs w:val="24"/>
              </w:rPr>
            </w:pPr>
            <w:r w:rsidRPr="0063220A">
              <w:rPr>
                <w:rFonts w:ascii="Times New Roman" w:hAnsi="Times New Roman" w:cs="Times New Roman"/>
                <w:sz w:val="24"/>
                <w:szCs w:val="24"/>
              </w:rPr>
              <w:t>964.239.054,07</w:t>
            </w:r>
            <w:r w:rsidR="003F676E" w:rsidRPr="003F676E">
              <w:rPr>
                <w:rFonts w:ascii="Times New Roman" w:hAnsi="Times New Roman" w:cs="Times New Roman"/>
                <w:sz w:val="24"/>
                <w:szCs w:val="24"/>
              </w:rPr>
              <w:tab/>
            </w:r>
            <w:r w:rsidR="003F676E" w:rsidRPr="003F676E">
              <w:rPr>
                <w:rFonts w:ascii="Times New Roman" w:hAnsi="Times New Roman" w:cs="Times New Roman"/>
                <w:sz w:val="24"/>
                <w:szCs w:val="24"/>
              </w:rPr>
              <w:tab/>
            </w:r>
          </w:p>
        </w:tc>
        <w:tc>
          <w:tcPr>
            <w:tcW w:w="5645" w:type="dxa"/>
          </w:tcPr>
          <w:p w14:paraId="74B65ACA" w14:textId="43E6007E" w:rsidR="001B1348" w:rsidRPr="00AD2630" w:rsidRDefault="008A345A"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3B53B95D" w:rsidR="00EC15BE" w:rsidRPr="00AD2630" w:rsidRDefault="008A345A"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AD2630" w14:paraId="49414BC0" w14:textId="77777777" w:rsidTr="001A238C">
        <w:trPr>
          <w:trHeight w:val="546"/>
        </w:trPr>
        <w:tc>
          <w:tcPr>
            <w:tcW w:w="1819" w:type="dxa"/>
          </w:tcPr>
          <w:p w14:paraId="4D752AFF" w14:textId="77777777" w:rsidR="001B1348" w:rsidRPr="00AD2630" w:rsidRDefault="001B1348" w:rsidP="00A05B08">
            <w:pPr>
              <w:rPr>
                <w:rFonts w:ascii="Times New Roman" w:hAnsi="Times New Roman" w:cs="Times New Roman"/>
                <w:sz w:val="24"/>
                <w:szCs w:val="24"/>
              </w:rPr>
            </w:pPr>
            <w:r w:rsidRPr="00AD2630">
              <w:rPr>
                <w:rFonts w:ascii="Times New Roman" w:hAnsi="Times New Roman" w:cs="Times New Roman"/>
                <w:sz w:val="24"/>
                <w:szCs w:val="24"/>
              </w:rPr>
              <w:t>Birim Pay Değeri</w:t>
            </w:r>
          </w:p>
        </w:tc>
        <w:tc>
          <w:tcPr>
            <w:tcW w:w="1716" w:type="dxa"/>
          </w:tcPr>
          <w:p w14:paraId="22FF4823" w14:textId="267589BB" w:rsidR="00237C1F" w:rsidRPr="00AD2630" w:rsidRDefault="0063220A" w:rsidP="00236423">
            <w:pPr>
              <w:jc w:val="right"/>
              <w:rPr>
                <w:rFonts w:ascii="Times New Roman" w:hAnsi="Times New Roman" w:cs="Times New Roman"/>
                <w:sz w:val="24"/>
                <w:szCs w:val="24"/>
              </w:rPr>
            </w:pPr>
            <w:r w:rsidRPr="0063220A">
              <w:rPr>
                <w:rFonts w:ascii="Times New Roman" w:hAnsi="Times New Roman" w:cs="Times New Roman"/>
                <w:sz w:val="24"/>
                <w:szCs w:val="24"/>
              </w:rPr>
              <w:t>1,570573</w:t>
            </w:r>
          </w:p>
        </w:tc>
        <w:tc>
          <w:tcPr>
            <w:tcW w:w="5645" w:type="dxa"/>
          </w:tcPr>
          <w:p w14:paraId="367F35D7" w14:textId="77777777" w:rsidR="001B1348" w:rsidRPr="00AD2630" w:rsidRDefault="003D66F7" w:rsidP="003D66F7">
            <w:pPr>
              <w:jc w:val="center"/>
              <w:rPr>
                <w:rFonts w:ascii="Times New Roman" w:hAnsi="Times New Roman" w:cs="Times New Roman"/>
                <w:b/>
                <w:sz w:val="24"/>
                <w:szCs w:val="24"/>
              </w:rPr>
            </w:pPr>
            <w:r w:rsidRPr="00AD2630">
              <w:rPr>
                <w:rFonts w:ascii="Times New Roman" w:hAnsi="Times New Roman" w:cs="Times New Roman"/>
                <w:b/>
                <w:sz w:val="24"/>
                <w:szCs w:val="24"/>
              </w:rPr>
              <w:t>Fon’un Yatırım Amacı ve Stratejisi</w:t>
            </w:r>
          </w:p>
        </w:tc>
      </w:tr>
      <w:tr w:rsidR="00E50129" w:rsidRPr="00AD2630" w14:paraId="41F7A0D8" w14:textId="77777777" w:rsidTr="001A238C">
        <w:trPr>
          <w:trHeight w:val="272"/>
        </w:trPr>
        <w:tc>
          <w:tcPr>
            <w:tcW w:w="1819" w:type="dxa"/>
          </w:tcPr>
          <w:p w14:paraId="6903EC00" w14:textId="77777777" w:rsidR="00E50129" w:rsidRPr="00AD2630" w:rsidRDefault="00E50129" w:rsidP="00A05B08">
            <w:pPr>
              <w:rPr>
                <w:rFonts w:ascii="Times New Roman" w:hAnsi="Times New Roman" w:cs="Times New Roman"/>
                <w:sz w:val="24"/>
                <w:szCs w:val="24"/>
              </w:rPr>
            </w:pPr>
            <w:r w:rsidRPr="00AD2630">
              <w:rPr>
                <w:rFonts w:ascii="Times New Roman" w:hAnsi="Times New Roman" w:cs="Times New Roman"/>
                <w:sz w:val="24"/>
                <w:szCs w:val="24"/>
              </w:rPr>
              <w:t>Yatırımcı Sayısı</w:t>
            </w:r>
          </w:p>
        </w:tc>
        <w:tc>
          <w:tcPr>
            <w:tcW w:w="1716" w:type="dxa"/>
          </w:tcPr>
          <w:p w14:paraId="5681A160" w14:textId="55ADB034" w:rsidR="00E50129" w:rsidRPr="00AD2630" w:rsidRDefault="0063220A" w:rsidP="003B245E">
            <w:pPr>
              <w:jc w:val="right"/>
              <w:rPr>
                <w:rFonts w:ascii="Times New Roman" w:hAnsi="Times New Roman" w:cs="Times New Roman"/>
                <w:sz w:val="24"/>
                <w:szCs w:val="24"/>
              </w:rPr>
            </w:pPr>
            <w:r>
              <w:rPr>
                <w:rFonts w:ascii="Times New Roman" w:hAnsi="Times New Roman" w:cs="Times New Roman"/>
                <w:sz w:val="24"/>
                <w:szCs w:val="24"/>
              </w:rPr>
              <w:t>317</w:t>
            </w:r>
          </w:p>
        </w:tc>
        <w:tc>
          <w:tcPr>
            <w:tcW w:w="5645" w:type="dxa"/>
            <w:vMerge w:val="restart"/>
          </w:tcPr>
          <w:p w14:paraId="7F18CCD2" w14:textId="77777777" w:rsidR="00AD2630" w:rsidRPr="00AD2630" w:rsidRDefault="00AD2630" w:rsidP="00AD2630">
            <w:pPr>
              <w:tabs>
                <w:tab w:val="left" w:pos="1368"/>
              </w:tabs>
              <w:ind w:right="394"/>
              <w:jc w:val="both"/>
              <w:rPr>
                <w:rFonts w:ascii="Times New Roman" w:hAnsi="Times New Roman" w:cs="Times New Roman"/>
                <w:sz w:val="24"/>
                <w:szCs w:val="24"/>
              </w:rPr>
            </w:pPr>
            <w:r w:rsidRPr="00AD2630">
              <w:rPr>
                <w:rFonts w:ascii="Times New Roman" w:hAnsi="Times New Roman" w:cs="Times New Roman"/>
                <w:sz w:val="24"/>
                <w:szCs w:val="24"/>
              </w:rPr>
              <w:t>Fon portföyünde TL cinsinden olması koşuluyla; kamu ve özel sektör borçlanma araçları, Takasbank para piyasası işlemleri ve yurt içi organize para piyasası işlemleri,  Türkiye Cumhuriyet Merkez Bankası (TCMB), Hazine ve İpotek Finansmanı Kuruluşları tarafından ihraç edilen para ve sermaye piyasası araçları, kamu ve/veya özel sektör tarafından ihraç edilen kira sertifikaları ile varlığa/ipoteğe dayalı menkul kıymetler ve/veya ipotek ve varlık teminatlı menkul kıymetler, yurt dışında ihraç olan TL cinsi menkul kıymetler, gelir ortaklığı senetleri, yapılandırılmış yatırım araçları, varantlar, sertifikalar, para piyasası enstrümanları ile organize piyasalarda veya borsa dışında repo ve ters repo yer alabilir. Portföyün vadeli/vadesiz mevduatta veya katılma hesaplarında değerlendirilmesi de söz konusu olabilecektir. Bu varlıklara dayalı veya bu varlıklardan oluşan endekslere dayalı borsada veya tezgahüstü piyasalarda işlem gören türev işlemlere yatırım yapılabilir. VİOP’ta işlem gören vadeli sözleşmeler ve opsiyonlar fon portföyüne dahil edilebilir.</w:t>
            </w:r>
          </w:p>
          <w:p w14:paraId="4618D6DC" w14:textId="1CB8F842" w:rsidR="00E50129" w:rsidRPr="00AD2630" w:rsidRDefault="00E50129" w:rsidP="00E50129">
            <w:pPr>
              <w:jc w:val="both"/>
              <w:rPr>
                <w:rFonts w:ascii="Times New Roman" w:hAnsi="Times New Roman" w:cs="Times New Roman"/>
                <w:sz w:val="24"/>
                <w:szCs w:val="24"/>
              </w:rPr>
            </w:pPr>
          </w:p>
        </w:tc>
      </w:tr>
      <w:tr w:rsidR="00E50129" w:rsidRPr="00AD2630" w14:paraId="1F67F208" w14:textId="77777777" w:rsidTr="001A238C">
        <w:trPr>
          <w:trHeight w:val="546"/>
        </w:trPr>
        <w:tc>
          <w:tcPr>
            <w:tcW w:w="1819" w:type="dxa"/>
          </w:tcPr>
          <w:p w14:paraId="53E26006" w14:textId="77777777" w:rsidR="00E50129" w:rsidRPr="00AD2630" w:rsidRDefault="00E50129" w:rsidP="00A05B08">
            <w:pPr>
              <w:rPr>
                <w:rFonts w:ascii="Times New Roman" w:hAnsi="Times New Roman" w:cs="Times New Roman"/>
                <w:sz w:val="24"/>
                <w:szCs w:val="24"/>
              </w:rPr>
            </w:pPr>
            <w:r w:rsidRPr="00AD2630">
              <w:rPr>
                <w:rFonts w:ascii="Times New Roman" w:hAnsi="Times New Roman" w:cs="Times New Roman"/>
                <w:sz w:val="24"/>
                <w:szCs w:val="24"/>
              </w:rPr>
              <w:t>Tedavül Oranı (%)</w:t>
            </w:r>
          </w:p>
        </w:tc>
        <w:tc>
          <w:tcPr>
            <w:tcW w:w="1716" w:type="dxa"/>
          </w:tcPr>
          <w:p w14:paraId="2E8AB30D" w14:textId="116CC312" w:rsidR="00E50129" w:rsidRPr="00AD2630" w:rsidRDefault="009973BA" w:rsidP="00236423">
            <w:pPr>
              <w:jc w:val="right"/>
              <w:rPr>
                <w:rFonts w:ascii="Times New Roman" w:hAnsi="Times New Roman" w:cs="Times New Roman"/>
                <w:sz w:val="24"/>
                <w:szCs w:val="24"/>
              </w:rPr>
            </w:pPr>
            <w:r>
              <w:rPr>
                <w:rFonts w:ascii="Times New Roman" w:hAnsi="Times New Roman" w:cs="Times New Roman"/>
                <w:sz w:val="24"/>
                <w:szCs w:val="24"/>
              </w:rPr>
              <w:t>12,28</w:t>
            </w:r>
          </w:p>
        </w:tc>
        <w:tc>
          <w:tcPr>
            <w:tcW w:w="5645" w:type="dxa"/>
            <w:vMerge/>
          </w:tcPr>
          <w:p w14:paraId="1A03D0A4" w14:textId="77777777" w:rsidR="00E50129" w:rsidRPr="00AD2630" w:rsidRDefault="00E50129" w:rsidP="00E50129">
            <w:pPr>
              <w:jc w:val="both"/>
              <w:rPr>
                <w:rFonts w:ascii="Times New Roman" w:hAnsi="Times New Roman" w:cs="Times New Roman"/>
                <w:sz w:val="24"/>
                <w:szCs w:val="24"/>
              </w:rPr>
            </w:pPr>
          </w:p>
        </w:tc>
      </w:tr>
      <w:tr w:rsidR="00E50129" w:rsidRPr="00AD2630" w14:paraId="1F1227F2" w14:textId="77777777" w:rsidTr="001A238C">
        <w:trPr>
          <w:trHeight w:val="272"/>
        </w:trPr>
        <w:tc>
          <w:tcPr>
            <w:tcW w:w="3535" w:type="dxa"/>
            <w:gridSpan w:val="2"/>
          </w:tcPr>
          <w:p w14:paraId="71BCD733" w14:textId="77777777" w:rsidR="00E50129" w:rsidRPr="00AD2630" w:rsidRDefault="00E50129" w:rsidP="003D66F7">
            <w:pPr>
              <w:jc w:val="center"/>
              <w:rPr>
                <w:rFonts w:ascii="Times New Roman" w:hAnsi="Times New Roman" w:cs="Times New Roman"/>
                <w:b/>
                <w:sz w:val="24"/>
                <w:szCs w:val="24"/>
              </w:rPr>
            </w:pPr>
            <w:r w:rsidRPr="00AD2630">
              <w:rPr>
                <w:rFonts w:ascii="Times New Roman" w:hAnsi="Times New Roman" w:cs="Times New Roman"/>
                <w:b/>
                <w:sz w:val="24"/>
                <w:szCs w:val="24"/>
              </w:rPr>
              <w:t>Portföy Dağılımı (%)</w:t>
            </w:r>
          </w:p>
        </w:tc>
        <w:tc>
          <w:tcPr>
            <w:tcW w:w="5645" w:type="dxa"/>
            <w:vMerge/>
          </w:tcPr>
          <w:p w14:paraId="7498A580" w14:textId="77777777" w:rsidR="00E50129" w:rsidRPr="00AD2630" w:rsidRDefault="00E50129" w:rsidP="00E50129">
            <w:pPr>
              <w:jc w:val="both"/>
              <w:rPr>
                <w:rFonts w:ascii="Times New Roman" w:hAnsi="Times New Roman" w:cs="Times New Roman"/>
                <w:sz w:val="24"/>
                <w:szCs w:val="24"/>
              </w:rPr>
            </w:pPr>
          </w:p>
        </w:tc>
      </w:tr>
      <w:tr w:rsidR="003F676E" w:rsidRPr="00AD2630" w14:paraId="044145B7" w14:textId="77777777" w:rsidTr="001A238C">
        <w:trPr>
          <w:trHeight w:val="261"/>
        </w:trPr>
        <w:tc>
          <w:tcPr>
            <w:tcW w:w="1819" w:type="dxa"/>
          </w:tcPr>
          <w:p w14:paraId="2DFA5817" w14:textId="7A0CBA04" w:rsidR="003F676E" w:rsidRPr="00AD2630" w:rsidRDefault="003F676E" w:rsidP="00A05B08">
            <w:pPr>
              <w:rPr>
                <w:rFonts w:ascii="Times New Roman" w:hAnsi="Times New Roman" w:cs="Times New Roman"/>
                <w:sz w:val="24"/>
                <w:szCs w:val="24"/>
              </w:rPr>
            </w:pPr>
            <w:r>
              <w:rPr>
                <w:rFonts w:ascii="Times New Roman" w:hAnsi="Times New Roman" w:cs="Times New Roman"/>
                <w:sz w:val="24"/>
                <w:szCs w:val="24"/>
              </w:rPr>
              <w:t>Borçlanma senetleri</w:t>
            </w:r>
          </w:p>
        </w:tc>
        <w:tc>
          <w:tcPr>
            <w:tcW w:w="1716" w:type="dxa"/>
          </w:tcPr>
          <w:p w14:paraId="78122911" w14:textId="4DA3BAA3" w:rsidR="003F676E" w:rsidRPr="00AD2630" w:rsidRDefault="003F676E" w:rsidP="006A0773">
            <w:pPr>
              <w:jc w:val="right"/>
              <w:rPr>
                <w:rFonts w:ascii="Times New Roman" w:hAnsi="Times New Roman" w:cs="Times New Roman"/>
                <w:sz w:val="24"/>
                <w:szCs w:val="24"/>
              </w:rPr>
            </w:pPr>
            <w:r>
              <w:rPr>
                <w:rFonts w:ascii="Times New Roman" w:hAnsi="Times New Roman" w:cs="Times New Roman"/>
                <w:sz w:val="24"/>
                <w:szCs w:val="24"/>
              </w:rPr>
              <w:t xml:space="preserve">  </w:t>
            </w:r>
            <w:r w:rsidR="008A345A">
              <w:rPr>
                <w:rFonts w:ascii="Times New Roman" w:hAnsi="Times New Roman" w:cs="Times New Roman"/>
                <w:sz w:val="24"/>
                <w:szCs w:val="24"/>
              </w:rPr>
              <w:t>55,67</w:t>
            </w:r>
            <w:r w:rsidRPr="003F676E">
              <w:rPr>
                <w:rFonts w:ascii="Times New Roman" w:hAnsi="Times New Roman" w:cs="Times New Roman"/>
                <w:sz w:val="24"/>
                <w:szCs w:val="24"/>
              </w:rPr>
              <w:tab/>
            </w:r>
          </w:p>
        </w:tc>
        <w:tc>
          <w:tcPr>
            <w:tcW w:w="5645" w:type="dxa"/>
            <w:vMerge/>
          </w:tcPr>
          <w:p w14:paraId="6BBE72A6" w14:textId="77777777" w:rsidR="003F676E" w:rsidRPr="00AD2630" w:rsidRDefault="003F676E" w:rsidP="00A05B08">
            <w:pPr>
              <w:rPr>
                <w:rFonts w:ascii="Times New Roman" w:hAnsi="Times New Roman" w:cs="Times New Roman"/>
                <w:sz w:val="24"/>
                <w:szCs w:val="24"/>
              </w:rPr>
            </w:pPr>
          </w:p>
        </w:tc>
      </w:tr>
      <w:tr w:rsidR="00AD2630" w:rsidRPr="00AD2630" w14:paraId="0FF38F88" w14:textId="77777777" w:rsidTr="001A238C">
        <w:trPr>
          <w:trHeight w:val="261"/>
        </w:trPr>
        <w:tc>
          <w:tcPr>
            <w:tcW w:w="1819" w:type="dxa"/>
          </w:tcPr>
          <w:p w14:paraId="3D43134F" w14:textId="66348F77" w:rsidR="00AD2630" w:rsidRPr="00AD2630" w:rsidRDefault="003F676E" w:rsidP="00A05B08">
            <w:pPr>
              <w:rPr>
                <w:rFonts w:ascii="Times New Roman" w:hAnsi="Times New Roman" w:cs="Times New Roman"/>
                <w:sz w:val="24"/>
                <w:szCs w:val="24"/>
              </w:rPr>
            </w:pPr>
            <w:r>
              <w:rPr>
                <w:rFonts w:ascii="Times New Roman" w:hAnsi="Times New Roman" w:cs="Times New Roman"/>
                <w:sz w:val="24"/>
                <w:szCs w:val="24"/>
              </w:rPr>
              <w:t>Ters repo</w:t>
            </w:r>
          </w:p>
        </w:tc>
        <w:tc>
          <w:tcPr>
            <w:tcW w:w="1716" w:type="dxa"/>
          </w:tcPr>
          <w:p w14:paraId="51488375" w14:textId="55D54A7E" w:rsidR="00AD2630" w:rsidRPr="00AD2630" w:rsidRDefault="0075599E" w:rsidP="006A0773">
            <w:pPr>
              <w:jc w:val="right"/>
              <w:rPr>
                <w:rFonts w:ascii="Times New Roman" w:hAnsi="Times New Roman" w:cs="Times New Roman"/>
                <w:sz w:val="24"/>
                <w:szCs w:val="24"/>
              </w:rPr>
            </w:pPr>
            <w:r>
              <w:rPr>
                <w:rFonts w:ascii="Times New Roman" w:hAnsi="Times New Roman" w:cs="Times New Roman"/>
                <w:sz w:val="24"/>
                <w:szCs w:val="24"/>
              </w:rPr>
              <w:t>17,13</w:t>
            </w:r>
          </w:p>
        </w:tc>
        <w:tc>
          <w:tcPr>
            <w:tcW w:w="5645" w:type="dxa"/>
            <w:vMerge/>
          </w:tcPr>
          <w:p w14:paraId="65E7FD76" w14:textId="77777777" w:rsidR="00AD2630" w:rsidRPr="00AD2630" w:rsidRDefault="00AD2630" w:rsidP="00A05B08">
            <w:pPr>
              <w:rPr>
                <w:rFonts w:ascii="Times New Roman" w:hAnsi="Times New Roman" w:cs="Times New Roman"/>
                <w:sz w:val="24"/>
                <w:szCs w:val="24"/>
              </w:rPr>
            </w:pPr>
          </w:p>
        </w:tc>
      </w:tr>
      <w:tr w:rsidR="003F676E" w:rsidRPr="00AD2630" w14:paraId="3A49DA9C" w14:textId="77777777" w:rsidTr="001A238C">
        <w:trPr>
          <w:trHeight w:val="261"/>
        </w:trPr>
        <w:tc>
          <w:tcPr>
            <w:tcW w:w="1819" w:type="dxa"/>
          </w:tcPr>
          <w:p w14:paraId="238F56F9" w14:textId="76677E31" w:rsidR="003F676E" w:rsidRDefault="003F676E" w:rsidP="00A05B08">
            <w:pPr>
              <w:rPr>
                <w:rFonts w:ascii="Times New Roman" w:hAnsi="Times New Roman" w:cs="Times New Roman"/>
                <w:sz w:val="24"/>
                <w:szCs w:val="24"/>
              </w:rPr>
            </w:pPr>
            <w:r>
              <w:rPr>
                <w:rFonts w:ascii="Times New Roman" w:hAnsi="Times New Roman" w:cs="Times New Roman"/>
                <w:sz w:val="24"/>
                <w:szCs w:val="24"/>
              </w:rPr>
              <w:t>Mevduat</w:t>
            </w:r>
          </w:p>
        </w:tc>
        <w:tc>
          <w:tcPr>
            <w:tcW w:w="1716" w:type="dxa"/>
          </w:tcPr>
          <w:p w14:paraId="4D084A19" w14:textId="52DAE1D3" w:rsidR="003F676E" w:rsidRDefault="008A1629" w:rsidP="006A0773">
            <w:pPr>
              <w:jc w:val="right"/>
              <w:rPr>
                <w:rFonts w:ascii="Times New Roman" w:hAnsi="Times New Roman" w:cs="Times New Roman"/>
                <w:sz w:val="24"/>
                <w:szCs w:val="24"/>
              </w:rPr>
            </w:pPr>
            <w:r>
              <w:rPr>
                <w:rFonts w:ascii="Times New Roman" w:hAnsi="Times New Roman" w:cs="Times New Roman"/>
                <w:sz w:val="24"/>
                <w:szCs w:val="24"/>
              </w:rPr>
              <w:t>1,91</w:t>
            </w:r>
          </w:p>
        </w:tc>
        <w:tc>
          <w:tcPr>
            <w:tcW w:w="5645" w:type="dxa"/>
            <w:vMerge/>
          </w:tcPr>
          <w:p w14:paraId="520F9166" w14:textId="77777777" w:rsidR="003F676E" w:rsidRPr="00AD2630" w:rsidRDefault="003F676E" w:rsidP="00A05B08">
            <w:pPr>
              <w:rPr>
                <w:rFonts w:ascii="Times New Roman" w:hAnsi="Times New Roman" w:cs="Times New Roman"/>
                <w:sz w:val="24"/>
                <w:szCs w:val="24"/>
              </w:rPr>
            </w:pPr>
          </w:p>
        </w:tc>
      </w:tr>
      <w:tr w:rsidR="003F676E" w:rsidRPr="00AD2630" w14:paraId="64FC7883" w14:textId="77777777" w:rsidTr="001A238C">
        <w:trPr>
          <w:trHeight w:val="261"/>
        </w:trPr>
        <w:tc>
          <w:tcPr>
            <w:tcW w:w="1819" w:type="dxa"/>
          </w:tcPr>
          <w:p w14:paraId="2381EDB0" w14:textId="1EB403DD" w:rsidR="003F676E" w:rsidRDefault="00F76916" w:rsidP="00A05B08">
            <w:pPr>
              <w:rPr>
                <w:rFonts w:ascii="Times New Roman" w:hAnsi="Times New Roman" w:cs="Times New Roman"/>
                <w:sz w:val="24"/>
                <w:szCs w:val="24"/>
              </w:rPr>
            </w:pPr>
            <w:r>
              <w:rPr>
                <w:rFonts w:ascii="Times New Roman" w:hAnsi="Times New Roman" w:cs="Times New Roman"/>
                <w:sz w:val="24"/>
                <w:szCs w:val="24"/>
              </w:rPr>
              <w:t>Diğer</w:t>
            </w:r>
          </w:p>
        </w:tc>
        <w:tc>
          <w:tcPr>
            <w:tcW w:w="1716" w:type="dxa"/>
          </w:tcPr>
          <w:p w14:paraId="4A883DF2" w14:textId="7EC468D0" w:rsidR="003F676E" w:rsidRDefault="00F76916" w:rsidP="006A0773">
            <w:pPr>
              <w:jc w:val="right"/>
              <w:rPr>
                <w:rFonts w:ascii="Times New Roman" w:hAnsi="Times New Roman" w:cs="Times New Roman"/>
                <w:sz w:val="24"/>
                <w:szCs w:val="24"/>
              </w:rPr>
            </w:pPr>
            <w:r>
              <w:rPr>
                <w:rFonts w:ascii="Times New Roman" w:hAnsi="Times New Roman" w:cs="Times New Roman"/>
                <w:sz w:val="24"/>
                <w:szCs w:val="24"/>
              </w:rPr>
              <w:t>25,29</w:t>
            </w:r>
          </w:p>
        </w:tc>
        <w:tc>
          <w:tcPr>
            <w:tcW w:w="5645" w:type="dxa"/>
            <w:vMerge/>
          </w:tcPr>
          <w:p w14:paraId="67BD51EA" w14:textId="77777777" w:rsidR="003F676E" w:rsidRPr="00AD2630" w:rsidRDefault="003F676E" w:rsidP="00A05B08">
            <w:pPr>
              <w:rPr>
                <w:rFonts w:ascii="Times New Roman" w:hAnsi="Times New Roman" w:cs="Times New Roman"/>
                <w:sz w:val="24"/>
                <w:szCs w:val="24"/>
              </w:rPr>
            </w:pPr>
          </w:p>
        </w:tc>
      </w:tr>
      <w:tr w:rsidR="00E50129" w:rsidRPr="00AD2630" w14:paraId="14327E3C" w14:textId="77777777" w:rsidTr="001A238C">
        <w:trPr>
          <w:trHeight w:val="272"/>
        </w:trPr>
        <w:tc>
          <w:tcPr>
            <w:tcW w:w="3535" w:type="dxa"/>
            <w:gridSpan w:val="2"/>
            <w:tcBorders>
              <w:top w:val="single" w:sz="4" w:space="0" w:color="auto"/>
              <w:left w:val="single" w:sz="4" w:space="0" w:color="auto"/>
              <w:bottom w:val="nil"/>
              <w:right w:val="single" w:sz="4" w:space="0" w:color="auto"/>
            </w:tcBorders>
          </w:tcPr>
          <w:p w14:paraId="214E80FB" w14:textId="77777777" w:rsidR="00E50129" w:rsidRPr="00AD2630" w:rsidRDefault="00E50129" w:rsidP="00A05B08">
            <w:pPr>
              <w:rPr>
                <w:rFonts w:ascii="Times New Roman" w:hAnsi="Times New Roman" w:cs="Times New Roman"/>
                <w:b/>
                <w:sz w:val="24"/>
                <w:szCs w:val="24"/>
              </w:rPr>
            </w:pPr>
          </w:p>
        </w:tc>
        <w:tc>
          <w:tcPr>
            <w:tcW w:w="5645" w:type="dxa"/>
            <w:vMerge/>
            <w:tcBorders>
              <w:left w:val="single" w:sz="4" w:space="0" w:color="auto"/>
            </w:tcBorders>
          </w:tcPr>
          <w:p w14:paraId="5BB6F06D" w14:textId="77777777" w:rsidR="00E50129" w:rsidRPr="00AD2630" w:rsidRDefault="00E50129" w:rsidP="00A05B08">
            <w:pPr>
              <w:rPr>
                <w:rFonts w:ascii="Times New Roman" w:hAnsi="Times New Roman" w:cs="Times New Roman"/>
                <w:sz w:val="24"/>
                <w:szCs w:val="24"/>
              </w:rPr>
            </w:pPr>
          </w:p>
        </w:tc>
      </w:tr>
      <w:tr w:rsidR="00E50129" w:rsidRPr="00AD2630" w14:paraId="2C140DCB" w14:textId="77777777" w:rsidTr="001A238C">
        <w:trPr>
          <w:trHeight w:val="484"/>
        </w:trPr>
        <w:tc>
          <w:tcPr>
            <w:tcW w:w="1819" w:type="dxa"/>
            <w:tcBorders>
              <w:top w:val="nil"/>
              <w:left w:val="single" w:sz="4" w:space="0" w:color="auto"/>
              <w:bottom w:val="single" w:sz="4" w:space="0" w:color="auto"/>
              <w:right w:val="nil"/>
            </w:tcBorders>
          </w:tcPr>
          <w:p w14:paraId="576813CE" w14:textId="6770551B" w:rsidR="0023421B" w:rsidRPr="00AD2630" w:rsidRDefault="0023421B" w:rsidP="0023421B">
            <w:pPr>
              <w:rPr>
                <w:rFonts w:ascii="Times New Roman" w:hAnsi="Times New Roman" w:cs="Times New Roman"/>
                <w:b/>
                <w:bCs/>
                <w:color w:val="000000"/>
                <w:sz w:val="20"/>
                <w:szCs w:val="20"/>
                <w:u w:val="single"/>
              </w:rPr>
            </w:pPr>
          </w:p>
          <w:p w14:paraId="70218834" w14:textId="1FEED5C2" w:rsidR="00E50129" w:rsidRPr="00AD2630"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AD2630" w:rsidRDefault="00E50129" w:rsidP="00E50129">
            <w:pPr>
              <w:jc w:val="right"/>
              <w:rPr>
                <w:rFonts w:ascii="Times New Roman" w:hAnsi="Times New Roman" w:cs="Times New Roman"/>
                <w:sz w:val="24"/>
                <w:szCs w:val="24"/>
              </w:rPr>
            </w:pPr>
          </w:p>
        </w:tc>
        <w:tc>
          <w:tcPr>
            <w:tcW w:w="5645" w:type="dxa"/>
            <w:vMerge/>
            <w:tcBorders>
              <w:left w:val="single" w:sz="4" w:space="0" w:color="auto"/>
            </w:tcBorders>
          </w:tcPr>
          <w:p w14:paraId="4A8D5C20" w14:textId="77777777" w:rsidR="00E50129" w:rsidRPr="00AD2630" w:rsidRDefault="00E50129" w:rsidP="00A05B08">
            <w:pPr>
              <w:rPr>
                <w:rFonts w:ascii="Times New Roman" w:hAnsi="Times New Roman" w:cs="Times New Roman"/>
                <w:sz w:val="24"/>
                <w:szCs w:val="24"/>
              </w:rPr>
            </w:pPr>
          </w:p>
        </w:tc>
      </w:tr>
      <w:tr w:rsidR="00D52CC0" w:rsidRPr="00AD2630" w14:paraId="01C9D9AB" w14:textId="77777777" w:rsidTr="007655DB">
        <w:trPr>
          <w:trHeight w:val="272"/>
        </w:trPr>
        <w:tc>
          <w:tcPr>
            <w:tcW w:w="9180" w:type="dxa"/>
            <w:gridSpan w:val="3"/>
          </w:tcPr>
          <w:p w14:paraId="1861FA3E" w14:textId="1CC6D1C6" w:rsidR="00D52CC0" w:rsidRPr="00AD2630" w:rsidRDefault="00D52CC0" w:rsidP="00D52CC0">
            <w:pPr>
              <w:jc w:val="center"/>
              <w:rPr>
                <w:rFonts w:ascii="Times New Roman" w:hAnsi="Times New Roman" w:cs="Times New Roman"/>
                <w:sz w:val="24"/>
                <w:szCs w:val="24"/>
              </w:rPr>
            </w:pPr>
            <w:r w:rsidRPr="00AD2630">
              <w:rPr>
                <w:rFonts w:ascii="Times New Roman" w:hAnsi="Times New Roman" w:cs="Times New Roman"/>
                <w:sz w:val="24"/>
                <w:szCs w:val="24"/>
              </w:rPr>
              <w:t xml:space="preserve">En Az Alınabilir Pay </w:t>
            </w:r>
            <w:r w:rsidR="00A17399" w:rsidRPr="00AD2630">
              <w:rPr>
                <w:rFonts w:ascii="Times New Roman" w:hAnsi="Times New Roman" w:cs="Times New Roman"/>
                <w:sz w:val="24"/>
                <w:szCs w:val="24"/>
              </w:rPr>
              <w:t>Adedi:</w:t>
            </w:r>
            <w:r w:rsidRPr="00AD2630">
              <w:rPr>
                <w:rFonts w:ascii="Times New Roman" w:hAnsi="Times New Roman" w:cs="Times New Roman"/>
                <w:sz w:val="24"/>
                <w:szCs w:val="24"/>
              </w:rPr>
              <w:t xml:space="preserve"> 1 Adet</w:t>
            </w:r>
          </w:p>
        </w:tc>
      </w:tr>
    </w:tbl>
    <w:p w14:paraId="37B030FD" w14:textId="77777777" w:rsidR="00621CF3" w:rsidRPr="00AD2630" w:rsidRDefault="00621CF3" w:rsidP="00A05B08">
      <w:pPr>
        <w:spacing w:after="0"/>
        <w:rPr>
          <w:rFonts w:ascii="Times New Roman" w:hAnsi="Times New Roman" w:cs="Times New Roman"/>
          <w:sz w:val="24"/>
          <w:szCs w:val="24"/>
        </w:rPr>
      </w:pPr>
    </w:p>
    <w:p w14:paraId="7D5438C5" w14:textId="77777777" w:rsidR="00621CF3" w:rsidRPr="00AD2630" w:rsidRDefault="00621CF3" w:rsidP="00CE6762">
      <w:pPr>
        <w:spacing w:after="0"/>
        <w:rPr>
          <w:rFonts w:ascii="Times New Roman" w:hAnsi="Times New Roman" w:cs="Times New Roman"/>
          <w:sz w:val="24"/>
          <w:szCs w:val="24"/>
        </w:rPr>
      </w:pPr>
    </w:p>
    <w:p w14:paraId="2312CCC3" w14:textId="77777777" w:rsidR="00106889" w:rsidRPr="00AD2630" w:rsidRDefault="00106889" w:rsidP="00621CF3">
      <w:pPr>
        <w:spacing w:after="0"/>
        <w:jc w:val="center"/>
        <w:rPr>
          <w:rFonts w:ascii="Times New Roman" w:hAnsi="Times New Roman" w:cs="Times New Roman"/>
          <w:sz w:val="24"/>
          <w:szCs w:val="24"/>
        </w:rPr>
      </w:pPr>
    </w:p>
    <w:p w14:paraId="23461D99" w14:textId="77777777" w:rsidR="00973E09" w:rsidRPr="00AD2630" w:rsidRDefault="00973E09" w:rsidP="00973E09">
      <w:pPr>
        <w:pStyle w:val="ListParagraph"/>
        <w:numPr>
          <w:ilvl w:val="0"/>
          <w:numId w:val="1"/>
        </w:numPr>
        <w:rPr>
          <w:rFonts w:ascii="Times New Roman" w:hAnsi="Times New Roman" w:cs="Times New Roman"/>
          <w:b/>
          <w:sz w:val="24"/>
          <w:szCs w:val="24"/>
        </w:rPr>
      </w:pPr>
      <w:r w:rsidRPr="00AD2630">
        <w:rPr>
          <w:rFonts w:ascii="Times New Roman" w:hAnsi="Times New Roman" w:cs="Times New Roman"/>
          <w:b/>
          <w:sz w:val="24"/>
          <w:szCs w:val="24"/>
        </w:rPr>
        <w:t>PERFORMANS BİLGİSİ</w:t>
      </w:r>
    </w:p>
    <w:tbl>
      <w:tblPr>
        <w:tblW w:w="9311" w:type="dxa"/>
        <w:tblCellMar>
          <w:left w:w="70" w:type="dxa"/>
          <w:right w:w="70" w:type="dxa"/>
        </w:tblCellMar>
        <w:tblLook w:val="04A0" w:firstRow="1" w:lastRow="0" w:firstColumn="1" w:lastColumn="0" w:noHBand="0" w:noVBand="1"/>
      </w:tblPr>
      <w:tblGrid>
        <w:gridCol w:w="921"/>
        <w:gridCol w:w="795"/>
        <w:gridCol w:w="1210"/>
        <w:gridCol w:w="1729"/>
        <w:gridCol w:w="1729"/>
        <w:gridCol w:w="1210"/>
        <w:gridCol w:w="820"/>
        <w:gridCol w:w="1400"/>
      </w:tblGrid>
      <w:tr w:rsidR="003350DA" w:rsidRPr="003350DA" w14:paraId="4BE78B54" w14:textId="77777777" w:rsidTr="003350DA">
        <w:trPr>
          <w:trHeight w:val="907"/>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8FF61" w14:textId="77777777" w:rsidR="003350DA" w:rsidRPr="003350DA" w:rsidRDefault="003350DA" w:rsidP="003350DA">
            <w:pPr>
              <w:spacing w:after="0" w:line="240" w:lineRule="auto"/>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Yıllar</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7AF9F045" w14:textId="77777777" w:rsidR="003350DA" w:rsidRPr="003350DA" w:rsidRDefault="003350DA" w:rsidP="003350DA">
            <w:pPr>
              <w:spacing w:after="0" w:line="240" w:lineRule="auto"/>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Toplam Getiri (%)</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61838492" w14:textId="77777777" w:rsidR="003350DA" w:rsidRPr="003350DA" w:rsidRDefault="003350DA" w:rsidP="003350DA">
            <w:pPr>
              <w:spacing w:after="0" w:line="240" w:lineRule="auto"/>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Karşılaştırma Ölçütünün Getirisi/Eşik Değer (%) (*)</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14:paraId="0D81B879" w14:textId="77777777" w:rsidR="003350DA" w:rsidRPr="003350DA" w:rsidRDefault="003350DA" w:rsidP="003350DA">
            <w:pPr>
              <w:spacing w:after="0" w:line="240" w:lineRule="auto"/>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Üfe Enflasyon Oranı (%) (**)</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14:paraId="448EAEDB" w14:textId="77777777" w:rsidR="003350DA" w:rsidRPr="003350DA" w:rsidRDefault="003350DA" w:rsidP="003350DA">
            <w:pPr>
              <w:spacing w:after="0" w:line="240" w:lineRule="auto"/>
              <w:jc w:val="center"/>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Portföyün Zaman İçinde Standart Sapması (%)</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30D6EA8A" w14:textId="77777777" w:rsidR="003350DA" w:rsidRPr="003350DA" w:rsidRDefault="003350DA" w:rsidP="003350DA">
            <w:pPr>
              <w:spacing w:after="0" w:line="240" w:lineRule="auto"/>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Karşılaştırma Ölçütünün Standart Sapması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FF087F3" w14:textId="77777777" w:rsidR="003350DA" w:rsidRPr="003350DA" w:rsidRDefault="003350DA" w:rsidP="003350DA">
            <w:pPr>
              <w:spacing w:after="0" w:line="240" w:lineRule="auto"/>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Bilgi Rasyosu</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099C4AA0" w14:textId="77777777" w:rsidR="003350DA" w:rsidRPr="003350DA" w:rsidRDefault="003350DA" w:rsidP="003350DA">
            <w:pPr>
              <w:spacing w:after="0" w:line="240" w:lineRule="auto"/>
              <w:jc w:val="center"/>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Sunuma Dahil Dönem Sonu Portföyün Toplam Değeri</w:t>
            </w:r>
          </w:p>
        </w:tc>
      </w:tr>
      <w:tr w:rsidR="003350DA" w:rsidRPr="003350DA" w14:paraId="379F3F16" w14:textId="77777777" w:rsidTr="003350DA">
        <w:trPr>
          <w:trHeight w:val="269"/>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CD8FFFE" w14:textId="77777777" w:rsidR="003350DA" w:rsidRPr="003350DA" w:rsidRDefault="003350DA" w:rsidP="003350DA">
            <w:pPr>
              <w:spacing w:after="0" w:line="240" w:lineRule="auto"/>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2023</w:t>
            </w:r>
          </w:p>
        </w:tc>
        <w:tc>
          <w:tcPr>
            <w:tcW w:w="795" w:type="dxa"/>
            <w:tcBorders>
              <w:top w:val="nil"/>
              <w:left w:val="nil"/>
              <w:bottom w:val="single" w:sz="4" w:space="0" w:color="auto"/>
              <w:right w:val="single" w:sz="4" w:space="0" w:color="auto"/>
            </w:tcBorders>
            <w:shd w:val="clear" w:color="auto" w:fill="auto"/>
            <w:noWrap/>
            <w:vAlign w:val="center"/>
            <w:hideMark/>
          </w:tcPr>
          <w:p w14:paraId="7BE16B04"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23,90</w:t>
            </w:r>
          </w:p>
        </w:tc>
        <w:tc>
          <w:tcPr>
            <w:tcW w:w="1034" w:type="dxa"/>
            <w:tcBorders>
              <w:top w:val="nil"/>
              <w:left w:val="nil"/>
              <w:bottom w:val="single" w:sz="4" w:space="0" w:color="auto"/>
              <w:right w:val="single" w:sz="4" w:space="0" w:color="auto"/>
            </w:tcBorders>
            <w:shd w:val="clear" w:color="auto" w:fill="auto"/>
            <w:noWrap/>
            <w:vAlign w:val="center"/>
            <w:hideMark/>
          </w:tcPr>
          <w:p w14:paraId="11D37E0E"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16,323</w:t>
            </w:r>
          </w:p>
        </w:tc>
        <w:tc>
          <w:tcPr>
            <w:tcW w:w="1729" w:type="dxa"/>
            <w:tcBorders>
              <w:top w:val="nil"/>
              <w:left w:val="nil"/>
              <w:bottom w:val="single" w:sz="4" w:space="0" w:color="auto"/>
              <w:right w:val="single" w:sz="4" w:space="0" w:color="auto"/>
            </w:tcBorders>
            <w:shd w:val="clear" w:color="auto" w:fill="auto"/>
            <w:noWrap/>
            <w:vAlign w:val="center"/>
            <w:hideMark/>
          </w:tcPr>
          <w:p w14:paraId="79978D77"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16,06</w:t>
            </w:r>
          </w:p>
        </w:tc>
        <w:tc>
          <w:tcPr>
            <w:tcW w:w="1729" w:type="dxa"/>
            <w:tcBorders>
              <w:top w:val="nil"/>
              <w:left w:val="nil"/>
              <w:bottom w:val="single" w:sz="4" w:space="0" w:color="auto"/>
              <w:right w:val="single" w:sz="4" w:space="0" w:color="auto"/>
            </w:tcBorders>
            <w:shd w:val="clear" w:color="auto" w:fill="auto"/>
            <w:noWrap/>
            <w:vAlign w:val="center"/>
            <w:hideMark/>
          </w:tcPr>
          <w:p w14:paraId="461AF8C7"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0,11</w:t>
            </w:r>
          </w:p>
        </w:tc>
        <w:tc>
          <w:tcPr>
            <w:tcW w:w="1047" w:type="dxa"/>
            <w:tcBorders>
              <w:top w:val="nil"/>
              <w:left w:val="nil"/>
              <w:bottom w:val="single" w:sz="4" w:space="0" w:color="auto"/>
              <w:right w:val="single" w:sz="4" w:space="0" w:color="auto"/>
            </w:tcBorders>
            <w:shd w:val="clear" w:color="auto" w:fill="auto"/>
            <w:vAlign w:val="center"/>
            <w:hideMark/>
          </w:tcPr>
          <w:p w14:paraId="13C6CF86"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0,08</w:t>
            </w:r>
          </w:p>
        </w:tc>
        <w:tc>
          <w:tcPr>
            <w:tcW w:w="820" w:type="dxa"/>
            <w:tcBorders>
              <w:top w:val="nil"/>
              <w:left w:val="nil"/>
              <w:bottom w:val="single" w:sz="4" w:space="0" w:color="auto"/>
              <w:right w:val="single" w:sz="4" w:space="0" w:color="auto"/>
            </w:tcBorders>
            <w:shd w:val="clear" w:color="auto" w:fill="auto"/>
            <w:noWrap/>
            <w:vAlign w:val="center"/>
            <w:hideMark/>
          </w:tcPr>
          <w:p w14:paraId="4D140A5E"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0,04</w:t>
            </w:r>
          </w:p>
        </w:tc>
        <w:tc>
          <w:tcPr>
            <w:tcW w:w="1236" w:type="dxa"/>
            <w:tcBorders>
              <w:top w:val="nil"/>
              <w:left w:val="nil"/>
              <w:bottom w:val="single" w:sz="4" w:space="0" w:color="auto"/>
              <w:right w:val="single" w:sz="4" w:space="0" w:color="auto"/>
            </w:tcBorders>
            <w:shd w:val="clear" w:color="auto" w:fill="auto"/>
            <w:noWrap/>
            <w:vAlign w:val="center"/>
            <w:hideMark/>
          </w:tcPr>
          <w:p w14:paraId="14DE84F4"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 xml:space="preserve">             1.294.671.664,68 </w:t>
            </w:r>
          </w:p>
        </w:tc>
      </w:tr>
      <w:tr w:rsidR="003350DA" w:rsidRPr="003350DA" w14:paraId="0AFB53DA" w14:textId="77777777" w:rsidTr="003350DA">
        <w:trPr>
          <w:trHeight w:val="269"/>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343FC8A" w14:textId="06D3A735" w:rsidR="003350DA" w:rsidRPr="003350DA" w:rsidRDefault="003350DA" w:rsidP="003350DA">
            <w:pPr>
              <w:spacing w:after="0" w:line="240" w:lineRule="auto"/>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95" w:type="dxa"/>
            <w:tcBorders>
              <w:top w:val="nil"/>
              <w:left w:val="nil"/>
              <w:bottom w:val="single" w:sz="4" w:space="0" w:color="auto"/>
              <w:right w:val="single" w:sz="4" w:space="0" w:color="auto"/>
            </w:tcBorders>
            <w:shd w:val="clear" w:color="auto" w:fill="auto"/>
            <w:noWrap/>
            <w:vAlign w:val="center"/>
            <w:hideMark/>
          </w:tcPr>
          <w:p w14:paraId="123C3A43"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26,76</w:t>
            </w:r>
          </w:p>
        </w:tc>
        <w:tc>
          <w:tcPr>
            <w:tcW w:w="1034" w:type="dxa"/>
            <w:tcBorders>
              <w:top w:val="nil"/>
              <w:left w:val="nil"/>
              <w:bottom w:val="single" w:sz="4" w:space="0" w:color="auto"/>
              <w:right w:val="single" w:sz="4" w:space="0" w:color="auto"/>
            </w:tcBorders>
            <w:shd w:val="clear" w:color="auto" w:fill="auto"/>
            <w:noWrap/>
            <w:vAlign w:val="center"/>
            <w:hideMark/>
          </w:tcPr>
          <w:p w14:paraId="2B93E732"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27,250</w:t>
            </w:r>
          </w:p>
        </w:tc>
        <w:tc>
          <w:tcPr>
            <w:tcW w:w="1729" w:type="dxa"/>
            <w:tcBorders>
              <w:top w:val="nil"/>
              <w:left w:val="nil"/>
              <w:bottom w:val="single" w:sz="4" w:space="0" w:color="auto"/>
              <w:right w:val="single" w:sz="4" w:space="0" w:color="auto"/>
            </w:tcBorders>
            <w:shd w:val="clear" w:color="auto" w:fill="auto"/>
            <w:noWrap/>
            <w:vAlign w:val="center"/>
            <w:hideMark/>
          </w:tcPr>
          <w:p w14:paraId="64192E3F"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19,49</w:t>
            </w:r>
          </w:p>
        </w:tc>
        <w:tc>
          <w:tcPr>
            <w:tcW w:w="1729" w:type="dxa"/>
            <w:tcBorders>
              <w:top w:val="nil"/>
              <w:left w:val="nil"/>
              <w:bottom w:val="single" w:sz="4" w:space="0" w:color="auto"/>
              <w:right w:val="single" w:sz="4" w:space="0" w:color="auto"/>
            </w:tcBorders>
            <w:shd w:val="clear" w:color="auto" w:fill="auto"/>
            <w:noWrap/>
            <w:vAlign w:val="center"/>
            <w:hideMark/>
          </w:tcPr>
          <w:p w14:paraId="351012DC"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0,13</w:t>
            </w:r>
          </w:p>
        </w:tc>
        <w:tc>
          <w:tcPr>
            <w:tcW w:w="1047" w:type="dxa"/>
            <w:tcBorders>
              <w:top w:val="nil"/>
              <w:left w:val="nil"/>
              <w:bottom w:val="single" w:sz="4" w:space="0" w:color="auto"/>
              <w:right w:val="single" w:sz="4" w:space="0" w:color="auto"/>
            </w:tcBorders>
            <w:shd w:val="clear" w:color="auto" w:fill="auto"/>
            <w:vAlign w:val="center"/>
            <w:hideMark/>
          </w:tcPr>
          <w:p w14:paraId="44B051F2"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0,14</w:t>
            </w:r>
          </w:p>
        </w:tc>
        <w:tc>
          <w:tcPr>
            <w:tcW w:w="820" w:type="dxa"/>
            <w:tcBorders>
              <w:top w:val="nil"/>
              <w:left w:val="nil"/>
              <w:bottom w:val="single" w:sz="4" w:space="0" w:color="auto"/>
              <w:right w:val="single" w:sz="4" w:space="0" w:color="auto"/>
            </w:tcBorders>
            <w:shd w:val="clear" w:color="auto" w:fill="auto"/>
            <w:noWrap/>
            <w:vAlign w:val="center"/>
            <w:hideMark/>
          </w:tcPr>
          <w:p w14:paraId="3B448A74"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0,00</w:t>
            </w:r>
          </w:p>
        </w:tc>
        <w:tc>
          <w:tcPr>
            <w:tcW w:w="1236" w:type="dxa"/>
            <w:tcBorders>
              <w:top w:val="nil"/>
              <w:left w:val="nil"/>
              <w:bottom w:val="single" w:sz="4" w:space="0" w:color="auto"/>
              <w:right w:val="single" w:sz="4" w:space="0" w:color="auto"/>
            </w:tcBorders>
            <w:shd w:val="clear" w:color="auto" w:fill="auto"/>
            <w:noWrap/>
            <w:vAlign w:val="center"/>
            <w:hideMark/>
          </w:tcPr>
          <w:p w14:paraId="4F80604D" w14:textId="77777777" w:rsidR="003350DA" w:rsidRPr="003350DA" w:rsidRDefault="003350DA" w:rsidP="003350DA">
            <w:pPr>
              <w:spacing w:after="0" w:line="240" w:lineRule="auto"/>
              <w:jc w:val="right"/>
              <w:rPr>
                <w:rFonts w:ascii="Times New Roman" w:eastAsia="Times New Roman" w:hAnsi="Times New Roman" w:cs="Times New Roman"/>
                <w:b/>
                <w:bCs/>
                <w:color w:val="000000"/>
                <w:sz w:val="18"/>
                <w:szCs w:val="18"/>
                <w:lang w:eastAsia="tr-TR"/>
              </w:rPr>
            </w:pPr>
            <w:r w:rsidRPr="003350DA">
              <w:rPr>
                <w:rFonts w:ascii="Times New Roman" w:eastAsia="Times New Roman" w:hAnsi="Times New Roman" w:cs="Times New Roman"/>
                <w:b/>
                <w:bCs/>
                <w:color w:val="000000"/>
                <w:sz w:val="18"/>
                <w:szCs w:val="18"/>
                <w:lang w:eastAsia="tr-TR"/>
              </w:rPr>
              <w:t xml:space="preserve">                964.239.054,07 </w:t>
            </w:r>
          </w:p>
        </w:tc>
      </w:tr>
    </w:tbl>
    <w:p w14:paraId="7A161A44" w14:textId="77777777" w:rsidR="00106889" w:rsidRPr="00AD2630" w:rsidRDefault="00106889" w:rsidP="00032E31">
      <w:pPr>
        <w:spacing w:after="0"/>
        <w:jc w:val="both"/>
        <w:rPr>
          <w:rFonts w:ascii="Times New Roman" w:hAnsi="Times New Roman" w:cs="Times New Roman"/>
          <w:sz w:val="24"/>
          <w:szCs w:val="24"/>
        </w:rPr>
      </w:pPr>
    </w:p>
    <w:p w14:paraId="3CFA9904" w14:textId="787F67BC" w:rsidR="00621CF3" w:rsidRPr="00AD2630" w:rsidRDefault="00030329" w:rsidP="00032E31">
      <w:pPr>
        <w:spacing w:after="0"/>
        <w:jc w:val="both"/>
        <w:rPr>
          <w:rFonts w:ascii="Times New Roman" w:eastAsiaTheme="minorEastAsia" w:hAnsi="Times New Roman" w:cs="Times New Roman"/>
          <w:sz w:val="24"/>
          <w:szCs w:val="24"/>
          <w:lang w:eastAsia="tr-TR"/>
        </w:rPr>
      </w:pPr>
      <w:r w:rsidRPr="00AD2630">
        <w:rPr>
          <w:rFonts w:ascii="Times New Roman" w:hAnsi="Times New Roman" w:cs="Times New Roman"/>
          <w:sz w:val="24"/>
          <w:szCs w:val="24"/>
        </w:rPr>
        <w:t>(*)</w:t>
      </w:r>
      <w:r w:rsidRPr="00AD2630">
        <w:rPr>
          <w:rFonts w:ascii="Times New Roman" w:hAnsi="Times New Roman" w:cs="Times New Roman"/>
          <w:sz w:val="24"/>
          <w:szCs w:val="24"/>
        </w:rPr>
        <w:tab/>
      </w:r>
      <w:r w:rsidR="005C70A1" w:rsidRPr="00AD2630">
        <w:rPr>
          <w:rFonts w:ascii="Times New Roman" w:eastAsiaTheme="minorEastAsia" w:hAnsi="Times New Roman" w:cs="Times New Roman"/>
          <w:sz w:val="24"/>
          <w:szCs w:val="24"/>
          <w:lang w:eastAsia="tr-TR"/>
        </w:rPr>
        <w:t>Eşik Değer</w:t>
      </w:r>
      <w:r w:rsidRPr="00AD2630">
        <w:rPr>
          <w:rFonts w:ascii="Times New Roman" w:eastAsiaTheme="minorEastAsia" w:hAnsi="Times New Roman" w:cs="Times New Roman"/>
          <w:sz w:val="24"/>
          <w:szCs w:val="24"/>
          <w:lang w:eastAsia="tr-TR"/>
        </w:rPr>
        <w:t xml:space="preserve">: </w:t>
      </w:r>
      <w:r w:rsidR="00AD2630" w:rsidRPr="00AD2630">
        <w:rPr>
          <w:rFonts w:ascii="Times New Roman" w:eastAsiaTheme="minorEastAsia" w:hAnsi="Times New Roman" w:cs="Times New Roman"/>
          <w:sz w:val="24"/>
          <w:szCs w:val="24"/>
          <w:lang w:eastAsia="tr-TR"/>
        </w:rPr>
        <w:t>%80 BIST-KYD 1 Aylık Mevduat TL Endeksi + %20 BIST-KYD Repo (Brüt) Endeksi</w:t>
      </w:r>
      <w:r w:rsidRPr="00AD2630">
        <w:rPr>
          <w:rFonts w:ascii="Times New Roman" w:eastAsiaTheme="minorEastAsia" w:hAnsi="Times New Roman" w:cs="Times New Roman"/>
          <w:sz w:val="24"/>
          <w:szCs w:val="24"/>
          <w:lang w:eastAsia="tr-TR"/>
        </w:rPr>
        <w:t>.</w:t>
      </w:r>
    </w:p>
    <w:p w14:paraId="74CD0119" w14:textId="686A84FF" w:rsidR="005F5413" w:rsidRPr="00AD2630" w:rsidRDefault="005F5413" w:rsidP="00032E31">
      <w:pPr>
        <w:spacing w:after="0"/>
        <w:jc w:val="both"/>
        <w:rPr>
          <w:rFonts w:ascii="Times New Roman" w:hAnsi="Times New Roman" w:cs="Times New Roman"/>
          <w:sz w:val="24"/>
          <w:szCs w:val="24"/>
        </w:rPr>
      </w:pPr>
      <w:r w:rsidRPr="00AD2630">
        <w:rPr>
          <w:rFonts w:ascii="Times New Roman" w:hAnsi="Times New Roman" w:cs="Times New Roman"/>
          <w:sz w:val="24"/>
          <w:szCs w:val="24"/>
        </w:rPr>
        <w:t>(**)</w:t>
      </w:r>
      <w:r w:rsidRPr="00AD2630">
        <w:rPr>
          <w:rFonts w:ascii="Times New Roman" w:hAnsi="Times New Roman" w:cs="Times New Roman"/>
          <w:sz w:val="24"/>
          <w:szCs w:val="24"/>
        </w:rPr>
        <w:tab/>
      </w:r>
      <w:r w:rsidR="000333B4" w:rsidRPr="00AD2630">
        <w:rPr>
          <w:rFonts w:ascii="Times New Roman" w:hAnsi="Times New Roman" w:cs="Times New Roman"/>
          <w:sz w:val="24"/>
          <w:szCs w:val="24"/>
        </w:rPr>
        <w:t>Enflasyon oranı T</w:t>
      </w:r>
      <w:r w:rsidR="007655DB" w:rsidRPr="00AD2630">
        <w:rPr>
          <w:rFonts w:ascii="Times New Roman" w:hAnsi="Times New Roman" w:cs="Times New Roman"/>
          <w:sz w:val="24"/>
          <w:szCs w:val="24"/>
        </w:rPr>
        <w:t>Ü</w:t>
      </w:r>
      <w:r w:rsidR="000333B4" w:rsidRPr="00AD2630">
        <w:rPr>
          <w:rFonts w:ascii="Times New Roman" w:hAnsi="Times New Roman" w:cs="Times New Roman"/>
          <w:sz w:val="24"/>
          <w:szCs w:val="24"/>
        </w:rPr>
        <w:t xml:space="preserve">İK tarafından açıklanan </w:t>
      </w:r>
      <w:r w:rsidRPr="00AD2630">
        <w:rPr>
          <w:rFonts w:ascii="Times New Roman" w:hAnsi="Times New Roman" w:cs="Times New Roman"/>
          <w:sz w:val="24"/>
          <w:szCs w:val="24"/>
        </w:rPr>
        <w:t>ÜFE</w:t>
      </w:r>
      <w:r w:rsidR="000333B4" w:rsidRPr="00AD2630">
        <w:rPr>
          <w:rFonts w:ascii="Times New Roman" w:hAnsi="Times New Roman" w:cs="Times New Roman"/>
          <w:sz w:val="24"/>
          <w:szCs w:val="24"/>
        </w:rPr>
        <w:t xml:space="preserve">’nin dönemsel oranıdır. </w:t>
      </w:r>
    </w:p>
    <w:p w14:paraId="77B00355" w14:textId="1B1A949F" w:rsidR="00030329" w:rsidRPr="00AD2630" w:rsidRDefault="005F5413" w:rsidP="00032E31">
      <w:pPr>
        <w:spacing w:after="0"/>
        <w:ind w:left="705" w:hanging="705"/>
        <w:jc w:val="both"/>
        <w:rPr>
          <w:rFonts w:ascii="Times New Roman" w:hAnsi="Times New Roman" w:cs="Times New Roman"/>
          <w:sz w:val="24"/>
          <w:szCs w:val="24"/>
        </w:rPr>
      </w:pPr>
      <w:r w:rsidRPr="00AD2630">
        <w:rPr>
          <w:rFonts w:ascii="Times New Roman" w:hAnsi="Times New Roman" w:cs="Times New Roman"/>
          <w:sz w:val="24"/>
          <w:szCs w:val="24"/>
        </w:rPr>
        <w:lastRenderedPageBreak/>
        <w:t>(***)</w:t>
      </w:r>
      <w:r w:rsidRPr="00AD2630">
        <w:rPr>
          <w:rFonts w:ascii="Times New Roman" w:hAnsi="Times New Roman" w:cs="Times New Roman"/>
          <w:sz w:val="24"/>
          <w:szCs w:val="24"/>
        </w:rPr>
        <w:tab/>
        <w:t xml:space="preserve">Fon’un kurulduğu </w:t>
      </w:r>
      <w:r w:rsidR="001D0913">
        <w:rPr>
          <w:rFonts w:ascii="Times New Roman" w:hAnsi="Times New Roman" w:cs="Times New Roman"/>
          <w:sz w:val="24"/>
          <w:szCs w:val="24"/>
        </w:rPr>
        <w:t>01</w:t>
      </w:r>
      <w:r w:rsidR="00AD2630" w:rsidRPr="00AD2630">
        <w:rPr>
          <w:rFonts w:ascii="Times New Roman" w:hAnsi="Times New Roman" w:cs="Times New Roman"/>
          <w:sz w:val="24"/>
          <w:szCs w:val="24"/>
        </w:rPr>
        <w:t>.0</w:t>
      </w:r>
      <w:r w:rsidR="001D0913">
        <w:rPr>
          <w:rFonts w:ascii="Times New Roman" w:hAnsi="Times New Roman" w:cs="Times New Roman"/>
          <w:sz w:val="24"/>
          <w:szCs w:val="24"/>
        </w:rPr>
        <w:t>1</w:t>
      </w:r>
      <w:r w:rsidR="00AD2630" w:rsidRPr="00AD2630">
        <w:rPr>
          <w:rFonts w:ascii="Times New Roman" w:hAnsi="Times New Roman" w:cs="Times New Roman"/>
          <w:sz w:val="24"/>
          <w:szCs w:val="24"/>
        </w:rPr>
        <w:t>.202</w:t>
      </w:r>
      <w:r w:rsidR="001D0913">
        <w:rPr>
          <w:rFonts w:ascii="Times New Roman" w:hAnsi="Times New Roman" w:cs="Times New Roman"/>
          <w:sz w:val="24"/>
          <w:szCs w:val="24"/>
        </w:rPr>
        <w:t>4</w:t>
      </w:r>
      <w:r w:rsidR="007655DB" w:rsidRPr="00AD2630">
        <w:rPr>
          <w:rFonts w:ascii="Times New Roman" w:hAnsi="Times New Roman" w:cs="Times New Roman"/>
          <w:sz w:val="24"/>
          <w:szCs w:val="24"/>
        </w:rPr>
        <w:t xml:space="preserve"> </w:t>
      </w:r>
      <w:r w:rsidRPr="00AD2630">
        <w:rPr>
          <w:rFonts w:ascii="Times New Roman" w:hAnsi="Times New Roman" w:cs="Times New Roman"/>
          <w:sz w:val="24"/>
          <w:szCs w:val="24"/>
        </w:rPr>
        <w:t xml:space="preserve">ile </w:t>
      </w:r>
      <w:r w:rsidR="00A34E82">
        <w:rPr>
          <w:rFonts w:ascii="Times New Roman" w:hAnsi="Times New Roman" w:cs="Times New Roman"/>
          <w:sz w:val="24"/>
          <w:szCs w:val="24"/>
        </w:rPr>
        <w:t>3</w:t>
      </w:r>
      <w:r w:rsidR="00FC0178">
        <w:rPr>
          <w:rFonts w:ascii="Times New Roman" w:hAnsi="Times New Roman" w:cs="Times New Roman"/>
          <w:sz w:val="24"/>
          <w:szCs w:val="24"/>
        </w:rPr>
        <w:t>0</w:t>
      </w:r>
      <w:r w:rsidR="00A34E82">
        <w:rPr>
          <w:rFonts w:ascii="Times New Roman" w:hAnsi="Times New Roman" w:cs="Times New Roman"/>
          <w:sz w:val="24"/>
          <w:szCs w:val="24"/>
        </w:rPr>
        <w:t>.</w:t>
      </w:r>
      <w:r w:rsidR="00FC0178">
        <w:rPr>
          <w:rFonts w:ascii="Times New Roman" w:hAnsi="Times New Roman" w:cs="Times New Roman"/>
          <w:sz w:val="24"/>
          <w:szCs w:val="24"/>
        </w:rPr>
        <w:t>06</w:t>
      </w:r>
      <w:r w:rsidR="00A34E82">
        <w:rPr>
          <w:rFonts w:ascii="Times New Roman" w:hAnsi="Times New Roman" w:cs="Times New Roman"/>
          <w:sz w:val="24"/>
          <w:szCs w:val="24"/>
        </w:rPr>
        <w:t>.</w:t>
      </w:r>
      <w:r w:rsidR="003C24E1" w:rsidRPr="00AD2630">
        <w:rPr>
          <w:rFonts w:ascii="Times New Roman" w:hAnsi="Times New Roman" w:cs="Times New Roman"/>
          <w:sz w:val="24"/>
          <w:szCs w:val="24"/>
        </w:rPr>
        <w:t>202</w:t>
      </w:r>
      <w:r w:rsidR="00FC0178">
        <w:rPr>
          <w:rFonts w:ascii="Times New Roman" w:hAnsi="Times New Roman" w:cs="Times New Roman"/>
          <w:sz w:val="24"/>
          <w:szCs w:val="24"/>
        </w:rPr>
        <w:t>4</w:t>
      </w:r>
      <w:r w:rsidR="007655DB" w:rsidRPr="00AD2630">
        <w:rPr>
          <w:rFonts w:ascii="Times New Roman" w:hAnsi="Times New Roman" w:cs="Times New Roman"/>
          <w:sz w:val="24"/>
          <w:szCs w:val="24"/>
        </w:rPr>
        <w:t xml:space="preserve"> </w:t>
      </w:r>
      <w:r w:rsidRPr="00AD2630">
        <w:rPr>
          <w:rFonts w:ascii="Times New Roman" w:hAnsi="Times New Roman" w:cs="Times New Roman"/>
          <w:sz w:val="24"/>
          <w:szCs w:val="24"/>
        </w:rPr>
        <w:t>tarihleri arasındaki dönemi kapsamaktadır.</w:t>
      </w:r>
    </w:p>
    <w:p w14:paraId="69E1A96A" w14:textId="77777777" w:rsidR="00BC4211" w:rsidRPr="00AD2630" w:rsidRDefault="00BC4211" w:rsidP="00AD2630">
      <w:pPr>
        <w:spacing w:after="0"/>
        <w:jc w:val="both"/>
        <w:rPr>
          <w:rFonts w:ascii="Times New Roman" w:hAnsi="Times New Roman" w:cs="Times New Roman"/>
          <w:sz w:val="24"/>
          <w:szCs w:val="24"/>
        </w:rPr>
      </w:pPr>
    </w:p>
    <w:p w14:paraId="112D3129" w14:textId="77777777" w:rsidR="00BC4211" w:rsidRPr="00AD2630" w:rsidRDefault="002E2517" w:rsidP="005F5413">
      <w:pPr>
        <w:spacing w:after="0"/>
        <w:ind w:left="705" w:hanging="705"/>
        <w:rPr>
          <w:rFonts w:ascii="Times New Roman" w:hAnsi="Times New Roman" w:cs="Times New Roman"/>
          <w:b/>
          <w:sz w:val="24"/>
          <w:szCs w:val="24"/>
          <w:u w:val="single"/>
        </w:rPr>
      </w:pPr>
      <w:r w:rsidRPr="00AD2630">
        <w:rPr>
          <w:rFonts w:ascii="Times New Roman" w:hAnsi="Times New Roman" w:cs="Times New Roman"/>
          <w:b/>
          <w:sz w:val="24"/>
          <w:szCs w:val="24"/>
          <w:u w:val="single"/>
          <w:shd w:val="clear" w:color="auto" w:fill="FFFFFF"/>
        </w:rPr>
        <w:t>Portföyün geçmiş performansı gelecek dönem performansı için bir gösterge olamaz.</w:t>
      </w:r>
    </w:p>
    <w:p w14:paraId="0C7C4001" w14:textId="77777777" w:rsidR="00CE6762" w:rsidRPr="00AD2630" w:rsidRDefault="00CE6762" w:rsidP="00587C61">
      <w:pPr>
        <w:spacing w:after="0"/>
        <w:rPr>
          <w:rFonts w:ascii="Times New Roman" w:hAnsi="Times New Roman" w:cs="Times New Roman"/>
          <w:sz w:val="24"/>
          <w:szCs w:val="24"/>
        </w:rPr>
      </w:pPr>
    </w:p>
    <w:p w14:paraId="586855A8" w14:textId="77777777" w:rsidR="00BC4211" w:rsidRPr="00AD2630" w:rsidRDefault="00BC4211" w:rsidP="00BC4211">
      <w:pPr>
        <w:pStyle w:val="ListParagraph"/>
        <w:numPr>
          <w:ilvl w:val="0"/>
          <w:numId w:val="1"/>
        </w:numPr>
        <w:spacing w:after="0"/>
        <w:rPr>
          <w:rFonts w:ascii="Times New Roman" w:hAnsi="Times New Roman" w:cs="Times New Roman"/>
          <w:b/>
          <w:sz w:val="24"/>
          <w:szCs w:val="24"/>
        </w:rPr>
      </w:pPr>
      <w:r w:rsidRPr="00AD2630">
        <w:rPr>
          <w:rFonts w:ascii="Times New Roman" w:hAnsi="Times New Roman" w:cs="Times New Roman"/>
          <w:b/>
          <w:sz w:val="24"/>
          <w:szCs w:val="24"/>
        </w:rPr>
        <w:t>DİPNOTLAR</w:t>
      </w:r>
    </w:p>
    <w:p w14:paraId="35AAFA9A" w14:textId="77777777" w:rsidR="00596C79" w:rsidRPr="00AD2630" w:rsidRDefault="00596C79" w:rsidP="00596C79">
      <w:pPr>
        <w:pStyle w:val="ListParagraph"/>
        <w:spacing w:after="0"/>
        <w:rPr>
          <w:rFonts w:ascii="Times New Roman" w:hAnsi="Times New Roman" w:cs="Times New Roman"/>
          <w:b/>
          <w:sz w:val="24"/>
          <w:szCs w:val="24"/>
        </w:rPr>
      </w:pPr>
    </w:p>
    <w:p w14:paraId="278BDCB5" w14:textId="2527C89B" w:rsidR="00C655C4" w:rsidRDefault="002E3773" w:rsidP="00C655C4">
      <w:pPr>
        <w:pStyle w:val="ListParagraph"/>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290E7D81" w14:textId="091D8DEA" w:rsidR="0080627C" w:rsidRPr="00AD2630" w:rsidRDefault="0080627C" w:rsidP="00C655C4">
      <w:pPr>
        <w:pStyle w:val="ListParagraph"/>
        <w:spacing w:after="0"/>
        <w:jc w:val="both"/>
        <w:rPr>
          <w:rFonts w:ascii="Times New Roman" w:hAnsi="Times New Roman" w:cs="Times New Roman"/>
          <w:sz w:val="24"/>
          <w:szCs w:val="24"/>
        </w:rPr>
      </w:pPr>
    </w:p>
    <w:p w14:paraId="3158A6A1" w14:textId="2BF19202" w:rsidR="00596C79" w:rsidRPr="00AD2630" w:rsidRDefault="00596C79" w:rsidP="00AD2630">
      <w:pPr>
        <w:pStyle w:val="ListParagraph"/>
        <w:spacing w:after="0"/>
        <w:jc w:val="both"/>
        <w:rPr>
          <w:rFonts w:ascii="Times New Roman" w:hAnsi="Times New Roman" w:cs="Times New Roman"/>
          <w:sz w:val="24"/>
          <w:szCs w:val="24"/>
        </w:rPr>
      </w:pPr>
    </w:p>
    <w:p w14:paraId="30FD4DB9" w14:textId="77777777" w:rsidR="00596C79" w:rsidRPr="00AD2630" w:rsidRDefault="00FF1215" w:rsidP="00596C79">
      <w:pPr>
        <w:pStyle w:val="ListParagraph"/>
        <w:numPr>
          <w:ilvl w:val="0"/>
          <w:numId w:val="3"/>
        </w:numPr>
        <w:spacing w:after="0"/>
        <w:jc w:val="both"/>
        <w:rPr>
          <w:rFonts w:ascii="Times New Roman" w:hAnsi="Times New Roman" w:cs="Times New Roman"/>
          <w:sz w:val="24"/>
          <w:szCs w:val="24"/>
        </w:rPr>
      </w:pPr>
      <w:r w:rsidRPr="00AD2630">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AD2630" w:rsidRDefault="00596C79" w:rsidP="00596C79">
      <w:pPr>
        <w:pStyle w:val="ListParagraph"/>
        <w:spacing w:after="0"/>
        <w:jc w:val="both"/>
        <w:rPr>
          <w:rFonts w:ascii="Times New Roman" w:hAnsi="Times New Roman" w:cs="Times New Roman"/>
          <w:sz w:val="24"/>
          <w:szCs w:val="24"/>
        </w:rPr>
      </w:pPr>
    </w:p>
    <w:p w14:paraId="699222F4" w14:textId="476DFECB" w:rsidR="00FF1215" w:rsidRPr="00AD2630" w:rsidRDefault="00FF1215" w:rsidP="00032E31">
      <w:pPr>
        <w:pStyle w:val="ListParagraph"/>
        <w:numPr>
          <w:ilvl w:val="0"/>
          <w:numId w:val="3"/>
        </w:numPr>
        <w:spacing w:after="0"/>
        <w:jc w:val="both"/>
        <w:rPr>
          <w:rFonts w:ascii="Times New Roman" w:hAnsi="Times New Roman" w:cs="Times New Roman"/>
          <w:sz w:val="24"/>
          <w:szCs w:val="24"/>
        </w:rPr>
      </w:pPr>
      <w:r w:rsidRPr="00AD2630">
        <w:rPr>
          <w:rFonts w:ascii="Times New Roman" w:hAnsi="Times New Roman" w:cs="Times New Roman"/>
          <w:sz w:val="24"/>
          <w:szCs w:val="24"/>
        </w:rPr>
        <w:t>Fon</w:t>
      </w:r>
      <w:r w:rsidR="00ED76F3" w:rsidRPr="00AD2630">
        <w:rPr>
          <w:rFonts w:ascii="Times New Roman" w:hAnsi="Times New Roman" w:cs="Times New Roman"/>
          <w:sz w:val="24"/>
          <w:szCs w:val="24"/>
        </w:rPr>
        <w:t>,</w:t>
      </w:r>
      <w:r w:rsidRPr="00AD2630">
        <w:rPr>
          <w:rFonts w:ascii="Times New Roman" w:hAnsi="Times New Roman" w:cs="Times New Roman"/>
          <w:sz w:val="24"/>
          <w:szCs w:val="24"/>
        </w:rPr>
        <w:t xml:space="preserve"> </w:t>
      </w:r>
      <w:r w:rsidR="00EE1C8B" w:rsidRPr="00AD2630">
        <w:rPr>
          <w:rFonts w:ascii="Times New Roman" w:hAnsi="Times New Roman" w:cs="Times New Roman"/>
          <w:sz w:val="24"/>
          <w:szCs w:val="24"/>
        </w:rPr>
        <w:t>performans sunum</w:t>
      </w:r>
      <w:r w:rsidRPr="00AD2630">
        <w:rPr>
          <w:rFonts w:ascii="Times New Roman" w:hAnsi="Times New Roman" w:cs="Times New Roman"/>
          <w:sz w:val="24"/>
          <w:szCs w:val="24"/>
        </w:rPr>
        <w:t xml:space="preserve"> döneminde net </w:t>
      </w:r>
      <w:r w:rsidR="005A19EC" w:rsidRPr="00AD2630">
        <w:rPr>
          <w:rFonts w:ascii="Times New Roman" w:hAnsi="Times New Roman" w:cs="Times New Roman"/>
          <w:sz w:val="24"/>
          <w:szCs w:val="24"/>
        </w:rPr>
        <w:t>%</w:t>
      </w:r>
      <w:r w:rsidR="00BC47B4">
        <w:rPr>
          <w:rFonts w:ascii="Times New Roman" w:hAnsi="Times New Roman" w:cs="Times New Roman"/>
          <w:sz w:val="24"/>
          <w:szCs w:val="24"/>
        </w:rPr>
        <w:t>2</w:t>
      </w:r>
      <w:r w:rsidR="00DD03E8">
        <w:rPr>
          <w:rFonts w:ascii="Times New Roman" w:hAnsi="Times New Roman" w:cs="Times New Roman"/>
          <w:sz w:val="24"/>
          <w:szCs w:val="24"/>
        </w:rPr>
        <w:t>6,76</w:t>
      </w:r>
      <w:r w:rsidR="00446BBE" w:rsidRPr="00AD2630">
        <w:rPr>
          <w:rFonts w:ascii="Times New Roman" w:hAnsi="Times New Roman" w:cs="Times New Roman"/>
          <w:sz w:val="24"/>
          <w:szCs w:val="24"/>
        </w:rPr>
        <w:t xml:space="preserve"> </w:t>
      </w:r>
      <w:r w:rsidR="00237C1F" w:rsidRPr="00AD2630">
        <w:rPr>
          <w:rFonts w:ascii="Times New Roman" w:hAnsi="Times New Roman" w:cs="Times New Roman"/>
          <w:sz w:val="24"/>
          <w:szCs w:val="24"/>
        </w:rPr>
        <w:t>k</w:t>
      </w:r>
      <w:r w:rsidR="00ED76F3" w:rsidRPr="00AD2630">
        <w:rPr>
          <w:rFonts w:ascii="Times New Roman" w:hAnsi="Times New Roman" w:cs="Times New Roman"/>
          <w:sz w:val="24"/>
          <w:szCs w:val="24"/>
        </w:rPr>
        <w:t>ar et</w:t>
      </w:r>
      <w:r w:rsidRPr="00AD2630">
        <w:rPr>
          <w:rFonts w:ascii="Times New Roman" w:hAnsi="Times New Roman" w:cs="Times New Roman"/>
          <w:sz w:val="24"/>
          <w:szCs w:val="24"/>
        </w:rPr>
        <w:t>miştir.</w:t>
      </w:r>
    </w:p>
    <w:p w14:paraId="2653D3D8" w14:textId="77777777" w:rsidR="00596C79" w:rsidRPr="00AD2630" w:rsidRDefault="00596C79" w:rsidP="00596C79">
      <w:pPr>
        <w:pStyle w:val="ListParagraph"/>
        <w:spacing w:after="0"/>
        <w:jc w:val="both"/>
        <w:rPr>
          <w:rFonts w:ascii="Times New Roman" w:hAnsi="Times New Roman" w:cs="Times New Roman"/>
          <w:sz w:val="24"/>
          <w:szCs w:val="24"/>
        </w:rPr>
      </w:pPr>
    </w:p>
    <w:p w14:paraId="78F2C54E" w14:textId="77777777" w:rsidR="00ED76F3" w:rsidRPr="00AD2630" w:rsidRDefault="00EE1C8B" w:rsidP="00032E31">
      <w:pPr>
        <w:pStyle w:val="ListParagraph"/>
        <w:numPr>
          <w:ilvl w:val="0"/>
          <w:numId w:val="3"/>
        </w:numPr>
        <w:spacing w:after="0"/>
        <w:jc w:val="both"/>
        <w:rPr>
          <w:rFonts w:ascii="Times New Roman" w:hAnsi="Times New Roman" w:cs="Times New Roman"/>
          <w:sz w:val="24"/>
          <w:szCs w:val="24"/>
        </w:rPr>
      </w:pPr>
      <w:r w:rsidRPr="00AD2630">
        <w:rPr>
          <w:rFonts w:ascii="Times New Roman" w:hAnsi="Times New Roman" w:cs="Times New Roman"/>
          <w:sz w:val="24"/>
          <w:szCs w:val="24"/>
        </w:rPr>
        <w:t>Performans sunum</w:t>
      </w:r>
      <w:r w:rsidR="00ED76F3" w:rsidRPr="00AD2630">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tbl>
      <w:tblPr>
        <w:tblW w:w="8440" w:type="dxa"/>
        <w:tblCellMar>
          <w:left w:w="70" w:type="dxa"/>
          <w:right w:w="70" w:type="dxa"/>
        </w:tblCellMar>
        <w:tblLook w:val="04A0" w:firstRow="1" w:lastRow="0" w:firstColumn="1" w:lastColumn="0" w:noHBand="0" w:noVBand="1"/>
      </w:tblPr>
      <w:tblGrid>
        <w:gridCol w:w="3430"/>
        <w:gridCol w:w="2246"/>
        <w:gridCol w:w="2764"/>
      </w:tblGrid>
      <w:tr w:rsidR="00D01667" w:rsidRPr="00D01667" w14:paraId="43258A12" w14:textId="77777777" w:rsidTr="00D01667">
        <w:trPr>
          <w:trHeight w:val="630"/>
        </w:trPr>
        <w:tc>
          <w:tcPr>
            <w:tcW w:w="343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C56A35C" w14:textId="77777777" w:rsidR="00D01667" w:rsidRPr="00D01667" w:rsidRDefault="00D01667" w:rsidP="00D01667">
            <w:pPr>
              <w:spacing w:after="0" w:line="240" w:lineRule="auto"/>
              <w:jc w:val="center"/>
              <w:rPr>
                <w:rFonts w:ascii="Times New Roman" w:eastAsia="Times New Roman" w:hAnsi="Times New Roman" w:cs="Times New Roman"/>
                <w:b/>
                <w:bCs/>
                <w:color w:val="000000"/>
                <w:sz w:val="24"/>
                <w:szCs w:val="24"/>
                <w:lang w:eastAsia="tr-TR"/>
              </w:rPr>
            </w:pPr>
            <w:r w:rsidRPr="00D01667">
              <w:rPr>
                <w:rFonts w:ascii="Times New Roman" w:eastAsia="Times New Roman" w:hAnsi="Times New Roman" w:cs="Times New Roman"/>
                <w:b/>
                <w:bCs/>
                <w:color w:val="000000"/>
                <w:sz w:val="24"/>
                <w:szCs w:val="24"/>
                <w:lang w:eastAsia="tr-TR"/>
              </w:rPr>
              <w:t>Dönem Faaliyet Giderleri Dağılımı</w:t>
            </w:r>
          </w:p>
        </w:tc>
        <w:tc>
          <w:tcPr>
            <w:tcW w:w="2246" w:type="dxa"/>
            <w:tcBorders>
              <w:top w:val="single" w:sz="8" w:space="0" w:color="auto"/>
              <w:left w:val="nil"/>
              <w:bottom w:val="single" w:sz="4" w:space="0" w:color="auto"/>
              <w:right w:val="single" w:sz="4" w:space="0" w:color="auto"/>
            </w:tcBorders>
            <w:shd w:val="clear" w:color="auto" w:fill="auto"/>
            <w:vAlign w:val="center"/>
            <w:hideMark/>
          </w:tcPr>
          <w:p w14:paraId="32C5D252" w14:textId="77777777" w:rsidR="00D01667" w:rsidRPr="00D01667" w:rsidRDefault="00D01667" w:rsidP="00D01667">
            <w:pPr>
              <w:spacing w:after="0" w:line="240" w:lineRule="auto"/>
              <w:jc w:val="center"/>
              <w:rPr>
                <w:rFonts w:ascii="Times New Roman" w:eastAsia="Times New Roman" w:hAnsi="Times New Roman" w:cs="Times New Roman"/>
                <w:b/>
                <w:bCs/>
                <w:color w:val="000000"/>
                <w:sz w:val="24"/>
                <w:szCs w:val="24"/>
                <w:lang w:eastAsia="tr-TR"/>
              </w:rPr>
            </w:pPr>
            <w:r w:rsidRPr="00D01667">
              <w:rPr>
                <w:rFonts w:ascii="Times New Roman" w:eastAsia="Times New Roman" w:hAnsi="Times New Roman" w:cs="Times New Roman"/>
                <w:b/>
                <w:bCs/>
                <w:color w:val="000000"/>
                <w:sz w:val="24"/>
                <w:szCs w:val="24"/>
                <w:lang w:eastAsia="tr-TR"/>
              </w:rPr>
              <w:t>Portföy Değerine Oranı (%)</w:t>
            </w:r>
          </w:p>
        </w:tc>
        <w:tc>
          <w:tcPr>
            <w:tcW w:w="2764" w:type="dxa"/>
            <w:tcBorders>
              <w:top w:val="single" w:sz="8" w:space="0" w:color="auto"/>
              <w:left w:val="nil"/>
              <w:bottom w:val="single" w:sz="4" w:space="0" w:color="auto"/>
              <w:right w:val="single" w:sz="8" w:space="0" w:color="auto"/>
            </w:tcBorders>
            <w:shd w:val="clear" w:color="auto" w:fill="auto"/>
            <w:vAlign w:val="center"/>
            <w:hideMark/>
          </w:tcPr>
          <w:p w14:paraId="6A225BB8" w14:textId="77777777" w:rsidR="00D01667" w:rsidRPr="00D01667" w:rsidRDefault="00D01667" w:rsidP="00D01667">
            <w:pPr>
              <w:spacing w:after="0" w:line="240" w:lineRule="auto"/>
              <w:jc w:val="center"/>
              <w:rPr>
                <w:rFonts w:ascii="Times New Roman" w:eastAsia="Times New Roman" w:hAnsi="Times New Roman" w:cs="Times New Roman"/>
                <w:b/>
                <w:bCs/>
                <w:color w:val="000000"/>
                <w:sz w:val="24"/>
                <w:szCs w:val="24"/>
                <w:lang w:eastAsia="tr-TR"/>
              </w:rPr>
            </w:pPr>
            <w:r w:rsidRPr="00D01667">
              <w:rPr>
                <w:rFonts w:ascii="Times New Roman" w:eastAsia="Times New Roman" w:hAnsi="Times New Roman" w:cs="Times New Roman"/>
                <w:b/>
                <w:bCs/>
                <w:color w:val="000000"/>
                <w:sz w:val="24"/>
                <w:szCs w:val="24"/>
                <w:lang w:eastAsia="tr-TR"/>
              </w:rPr>
              <w:t>Tutar (TL)</w:t>
            </w:r>
          </w:p>
        </w:tc>
      </w:tr>
      <w:tr w:rsidR="00D01667" w:rsidRPr="00D01667" w14:paraId="34B3386B" w14:textId="77777777" w:rsidTr="00D01667">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122EA16B" w14:textId="77777777" w:rsidR="00D01667" w:rsidRPr="00D01667" w:rsidRDefault="00D01667" w:rsidP="00D01667">
            <w:pPr>
              <w:spacing w:after="0" w:line="240" w:lineRule="auto"/>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Yönetim Ücreti</w:t>
            </w:r>
          </w:p>
        </w:tc>
        <w:tc>
          <w:tcPr>
            <w:tcW w:w="2246" w:type="dxa"/>
            <w:tcBorders>
              <w:top w:val="nil"/>
              <w:left w:val="nil"/>
              <w:bottom w:val="single" w:sz="4" w:space="0" w:color="auto"/>
              <w:right w:val="single" w:sz="4" w:space="0" w:color="auto"/>
            </w:tcBorders>
            <w:shd w:val="clear" w:color="auto" w:fill="auto"/>
            <w:noWrap/>
            <w:vAlign w:val="bottom"/>
            <w:hideMark/>
          </w:tcPr>
          <w:p w14:paraId="21F34749"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1,11</w:t>
            </w:r>
          </w:p>
        </w:tc>
        <w:tc>
          <w:tcPr>
            <w:tcW w:w="2764" w:type="dxa"/>
            <w:tcBorders>
              <w:top w:val="nil"/>
              <w:left w:val="nil"/>
              <w:bottom w:val="single" w:sz="4" w:space="0" w:color="auto"/>
              <w:right w:val="single" w:sz="8" w:space="0" w:color="auto"/>
            </w:tcBorders>
            <w:shd w:val="clear" w:color="auto" w:fill="auto"/>
            <w:noWrap/>
            <w:vAlign w:val="bottom"/>
            <w:hideMark/>
          </w:tcPr>
          <w:p w14:paraId="0D0284F4"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12.205.166,73</w:t>
            </w:r>
          </w:p>
        </w:tc>
      </w:tr>
      <w:tr w:rsidR="00D01667" w:rsidRPr="00D01667" w14:paraId="3F7C8EAB" w14:textId="77777777" w:rsidTr="00D01667">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5A88280D" w14:textId="77777777" w:rsidR="00D01667" w:rsidRPr="00D01667" w:rsidRDefault="00D01667" w:rsidP="00D01667">
            <w:pPr>
              <w:spacing w:after="0" w:line="240" w:lineRule="auto"/>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Komisyon ve Diğer İşlem Ücretleri</w:t>
            </w:r>
          </w:p>
        </w:tc>
        <w:tc>
          <w:tcPr>
            <w:tcW w:w="2246" w:type="dxa"/>
            <w:tcBorders>
              <w:top w:val="nil"/>
              <w:left w:val="nil"/>
              <w:bottom w:val="single" w:sz="4" w:space="0" w:color="auto"/>
              <w:right w:val="single" w:sz="4" w:space="0" w:color="auto"/>
            </w:tcBorders>
            <w:shd w:val="clear" w:color="auto" w:fill="auto"/>
            <w:noWrap/>
            <w:vAlign w:val="bottom"/>
            <w:hideMark/>
          </w:tcPr>
          <w:p w14:paraId="347569FE"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0,03</w:t>
            </w:r>
          </w:p>
        </w:tc>
        <w:tc>
          <w:tcPr>
            <w:tcW w:w="2764" w:type="dxa"/>
            <w:tcBorders>
              <w:top w:val="nil"/>
              <w:left w:val="nil"/>
              <w:bottom w:val="single" w:sz="4" w:space="0" w:color="auto"/>
              <w:right w:val="single" w:sz="8" w:space="0" w:color="auto"/>
            </w:tcBorders>
            <w:shd w:val="clear" w:color="auto" w:fill="auto"/>
            <w:noWrap/>
            <w:vAlign w:val="bottom"/>
            <w:hideMark/>
          </w:tcPr>
          <w:p w14:paraId="17700500"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339.257,51</w:t>
            </w:r>
          </w:p>
        </w:tc>
      </w:tr>
      <w:tr w:rsidR="00D01667" w:rsidRPr="00D01667" w14:paraId="4FFBF67B" w14:textId="77777777" w:rsidTr="00D01667">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2879FC68" w14:textId="77777777" w:rsidR="00D01667" w:rsidRPr="00D01667" w:rsidRDefault="00D01667" w:rsidP="00D01667">
            <w:pPr>
              <w:spacing w:after="0" w:line="240" w:lineRule="auto"/>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Saklama Ücreti</w:t>
            </w:r>
          </w:p>
        </w:tc>
        <w:tc>
          <w:tcPr>
            <w:tcW w:w="2246" w:type="dxa"/>
            <w:tcBorders>
              <w:top w:val="nil"/>
              <w:left w:val="nil"/>
              <w:bottom w:val="single" w:sz="4" w:space="0" w:color="auto"/>
              <w:right w:val="single" w:sz="4" w:space="0" w:color="auto"/>
            </w:tcBorders>
            <w:shd w:val="clear" w:color="auto" w:fill="auto"/>
            <w:noWrap/>
            <w:vAlign w:val="bottom"/>
            <w:hideMark/>
          </w:tcPr>
          <w:p w14:paraId="6AD4E3CA"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0,05</w:t>
            </w:r>
          </w:p>
        </w:tc>
        <w:tc>
          <w:tcPr>
            <w:tcW w:w="2764" w:type="dxa"/>
            <w:tcBorders>
              <w:top w:val="nil"/>
              <w:left w:val="nil"/>
              <w:bottom w:val="single" w:sz="4" w:space="0" w:color="auto"/>
              <w:right w:val="single" w:sz="8" w:space="0" w:color="auto"/>
            </w:tcBorders>
            <w:shd w:val="clear" w:color="auto" w:fill="auto"/>
            <w:noWrap/>
            <w:vAlign w:val="bottom"/>
            <w:hideMark/>
          </w:tcPr>
          <w:p w14:paraId="0433BD90"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556.767,37</w:t>
            </w:r>
          </w:p>
        </w:tc>
      </w:tr>
      <w:tr w:rsidR="00D01667" w:rsidRPr="00D01667" w14:paraId="30E519A8" w14:textId="77777777" w:rsidTr="00D01667">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102BBD3B" w14:textId="77777777" w:rsidR="00D01667" w:rsidRPr="00D01667" w:rsidRDefault="00D01667" w:rsidP="00D01667">
            <w:pPr>
              <w:spacing w:after="0" w:line="240" w:lineRule="auto"/>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Kurul Ücretleri</w:t>
            </w:r>
          </w:p>
        </w:tc>
        <w:tc>
          <w:tcPr>
            <w:tcW w:w="2246" w:type="dxa"/>
            <w:tcBorders>
              <w:top w:val="nil"/>
              <w:left w:val="nil"/>
              <w:bottom w:val="single" w:sz="4" w:space="0" w:color="auto"/>
              <w:right w:val="single" w:sz="4" w:space="0" w:color="auto"/>
            </w:tcBorders>
            <w:shd w:val="clear" w:color="auto" w:fill="auto"/>
            <w:noWrap/>
            <w:vAlign w:val="bottom"/>
            <w:hideMark/>
          </w:tcPr>
          <w:p w14:paraId="79072D2A"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0,01</w:t>
            </w:r>
          </w:p>
        </w:tc>
        <w:tc>
          <w:tcPr>
            <w:tcW w:w="2764" w:type="dxa"/>
            <w:tcBorders>
              <w:top w:val="nil"/>
              <w:left w:val="nil"/>
              <w:bottom w:val="single" w:sz="4" w:space="0" w:color="auto"/>
              <w:right w:val="single" w:sz="8" w:space="0" w:color="auto"/>
            </w:tcBorders>
            <w:shd w:val="clear" w:color="auto" w:fill="auto"/>
            <w:noWrap/>
            <w:vAlign w:val="bottom"/>
            <w:hideMark/>
          </w:tcPr>
          <w:p w14:paraId="235C8EF5"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88.262,53</w:t>
            </w:r>
          </w:p>
        </w:tc>
      </w:tr>
      <w:tr w:rsidR="00D01667" w:rsidRPr="00D01667" w14:paraId="3675DC19" w14:textId="77777777" w:rsidTr="00D01667">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601614E6" w14:textId="77777777" w:rsidR="00D01667" w:rsidRPr="00D01667" w:rsidRDefault="00D01667" w:rsidP="00D01667">
            <w:pPr>
              <w:spacing w:after="0" w:line="240" w:lineRule="auto"/>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Bağımsız Denetim Ücreti</w:t>
            </w:r>
          </w:p>
        </w:tc>
        <w:tc>
          <w:tcPr>
            <w:tcW w:w="2246" w:type="dxa"/>
            <w:tcBorders>
              <w:top w:val="nil"/>
              <w:left w:val="nil"/>
              <w:bottom w:val="single" w:sz="4" w:space="0" w:color="auto"/>
              <w:right w:val="single" w:sz="4" w:space="0" w:color="auto"/>
            </w:tcBorders>
            <w:shd w:val="clear" w:color="auto" w:fill="auto"/>
            <w:noWrap/>
            <w:vAlign w:val="bottom"/>
            <w:hideMark/>
          </w:tcPr>
          <w:p w14:paraId="4A2CB7B6"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0,00</w:t>
            </w:r>
          </w:p>
        </w:tc>
        <w:tc>
          <w:tcPr>
            <w:tcW w:w="2764" w:type="dxa"/>
            <w:tcBorders>
              <w:top w:val="nil"/>
              <w:left w:val="nil"/>
              <w:bottom w:val="single" w:sz="4" w:space="0" w:color="auto"/>
              <w:right w:val="single" w:sz="8" w:space="0" w:color="auto"/>
            </w:tcBorders>
            <w:shd w:val="clear" w:color="auto" w:fill="auto"/>
            <w:noWrap/>
            <w:vAlign w:val="bottom"/>
            <w:hideMark/>
          </w:tcPr>
          <w:p w14:paraId="30909A22"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17.064,68</w:t>
            </w:r>
          </w:p>
        </w:tc>
      </w:tr>
      <w:tr w:rsidR="00D01667" w:rsidRPr="00D01667" w14:paraId="702875D9" w14:textId="77777777" w:rsidTr="00D01667">
        <w:trPr>
          <w:trHeight w:val="315"/>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62898B70" w14:textId="77777777" w:rsidR="00D01667" w:rsidRPr="00D01667" w:rsidRDefault="00D01667" w:rsidP="00D01667">
            <w:pPr>
              <w:spacing w:after="0" w:line="240" w:lineRule="auto"/>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Diğer Giderler</w:t>
            </w:r>
          </w:p>
        </w:tc>
        <w:tc>
          <w:tcPr>
            <w:tcW w:w="2246" w:type="dxa"/>
            <w:tcBorders>
              <w:top w:val="nil"/>
              <w:left w:val="nil"/>
              <w:bottom w:val="single" w:sz="4" w:space="0" w:color="auto"/>
              <w:right w:val="single" w:sz="4" w:space="0" w:color="auto"/>
            </w:tcBorders>
            <w:shd w:val="clear" w:color="auto" w:fill="auto"/>
            <w:noWrap/>
            <w:vAlign w:val="bottom"/>
            <w:hideMark/>
          </w:tcPr>
          <w:p w14:paraId="51B73827"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0,01</w:t>
            </w:r>
          </w:p>
        </w:tc>
        <w:tc>
          <w:tcPr>
            <w:tcW w:w="2764" w:type="dxa"/>
            <w:tcBorders>
              <w:top w:val="nil"/>
              <w:left w:val="nil"/>
              <w:bottom w:val="single" w:sz="4" w:space="0" w:color="auto"/>
              <w:right w:val="single" w:sz="8" w:space="0" w:color="auto"/>
            </w:tcBorders>
            <w:shd w:val="clear" w:color="auto" w:fill="auto"/>
            <w:noWrap/>
            <w:vAlign w:val="bottom"/>
            <w:hideMark/>
          </w:tcPr>
          <w:p w14:paraId="7CF222A8"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91.991,75</w:t>
            </w:r>
          </w:p>
        </w:tc>
      </w:tr>
      <w:tr w:rsidR="00D01667" w:rsidRPr="00D01667" w14:paraId="15236752" w14:textId="77777777" w:rsidTr="00D01667">
        <w:trPr>
          <w:trHeight w:val="330"/>
        </w:trPr>
        <w:tc>
          <w:tcPr>
            <w:tcW w:w="3430" w:type="dxa"/>
            <w:tcBorders>
              <w:top w:val="nil"/>
              <w:left w:val="single" w:sz="8" w:space="0" w:color="auto"/>
              <w:bottom w:val="single" w:sz="8" w:space="0" w:color="auto"/>
              <w:right w:val="single" w:sz="4" w:space="0" w:color="auto"/>
            </w:tcBorders>
            <w:shd w:val="clear" w:color="auto" w:fill="auto"/>
            <w:noWrap/>
            <w:vAlign w:val="bottom"/>
            <w:hideMark/>
          </w:tcPr>
          <w:p w14:paraId="5B3DF88C" w14:textId="77777777" w:rsidR="00D01667" w:rsidRPr="00D01667" w:rsidRDefault="00D01667" w:rsidP="00D01667">
            <w:pPr>
              <w:spacing w:after="0" w:line="240" w:lineRule="auto"/>
              <w:rPr>
                <w:rFonts w:ascii="Times New Roman" w:eastAsia="Times New Roman" w:hAnsi="Times New Roman" w:cs="Times New Roman"/>
                <w:b/>
                <w:bCs/>
                <w:color w:val="000000"/>
                <w:sz w:val="24"/>
                <w:szCs w:val="24"/>
                <w:lang w:eastAsia="tr-TR"/>
              </w:rPr>
            </w:pPr>
            <w:r w:rsidRPr="00D01667">
              <w:rPr>
                <w:rFonts w:ascii="Times New Roman" w:eastAsia="Times New Roman" w:hAnsi="Times New Roman" w:cs="Times New Roman"/>
                <w:b/>
                <w:bCs/>
                <w:color w:val="000000"/>
                <w:sz w:val="24"/>
                <w:szCs w:val="24"/>
                <w:lang w:eastAsia="tr-TR"/>
              </w:rPr>
              <w:t>Toplam</w:t>
            </w:r>
          </w:p>
        </w:tc>
        <w:tc>
          <w:tcPr>
            <w:tcW w:w="2246" w:type="dxa"/>
            <w:tcBorders>
              <w:top w:val="nil"/>
              <w:left w:val="nil"/>
              <w:bottom w:val="single" w:sz="8" w:space="0" w:color="auto"/>
              <w:right w:val="single" w:sz="4" w:space="0" w:color="auto"/>
            </w:tcBorders>
            <w:shd w:val="clear" w:color="auto" w:fill="auto"/>
            <w:noWrap/>
            <w:vAlign w:val="bottom"/>
            <w:hideMark/>
          </w:tcPr>
          <w:p w14:paraId="7374F04B"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1,21</w:t>
            </w:r>
          </w:p>
        </w:tc>
        <w:tc>
          <w:tcPr>
            <w:tcW w:w="2764" w:type="dxa"/>
            <w:tcBorders>
              <w:top w:val="nil"/>
              <w:left w:val="nil"/>
              <w:bottom w:val="single" w:sz="4" w:space="0" w:color="auto"/>
              <w:right w:val="single" w:sz="8" w:space="0" w:color="auto"/>
            </w:tcBorders>
            <w:shd w:val="clear" w:color="auto" w:fill="auto"/>
            <w:noWrap/>
            <w:vAlign w:val="bottom"/>
            <w:hideMark/>
          </w:tcPr>
          <w:p w14:paraId="68335A7D"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13.298.510,57</w:t>
            </w:r>
          </w:p>
        </w:tc>
      </w:tr>
      <w:tr w:rsidR="00D01667" w:rsidRPr="00D01667" w14:paraId="30B44BE1" w14:textId="77777777" w:rsidTr="00D01667">
        <w:trPr>
          <w:trHeight w:val="330"/>
        </w:trPr>
        <w:tc>
          <w:tcPr>
            <w:tcW w:w="3430" w:type="dxa"/>
            <w:tcBorders>
              <w:top w:val="nil"/>
              <w:left w:val="nil"/>
              <w:bottom w:val="nil"/>
              <w:right w:val="nil"/>
            </w:tcBorders>
            <w:shd w:val="clear" w:color="auto" w:fill="auto"/>
            <w:noWrap/>
            <w:vAlign w:val="bottom"/>
            <w:hideMark/>
          </w:tcPr>
          <w:p w14:paraId="0A3F7C93"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p>
        </w:tc>
        <w:tc>
          <w:tcPr>
            <w:tcW w:w="2246" w:type="dxa"/>
            <w:tcBorders>
              <w:top w:val="nil"/>
              <w:left w:val="nil"/>
              <w:bottom w:val="nil"/>
              <w:right w:val="nil"/>
            </w:tcBorders>
            <w:shd w:val="clear" w:color="auto" w:fill="auto"/>
            <w:noWrap/>
            <w:vAlign w:val="bottom"/>
            <w:hideMark/>
          </w:tcPr>
          <w:p w14:paraId="409AC754" w14:textId="77777777" w:rsidR="00D01667" w:rsidRPr="00D01667" w:rsidRDefault="00D01667" w:rsidP="00D01667">
            <w:pPr>
              <w:spacing w:after="0" w:line="240" w:lineRule="auto"/>
              <w:rPr>
                <w:rFonts w:ascii="Times New Roman" w:eastAsia="Times New Roman" w:hAnsi="Times New Roman" w:cs="Times New Roman"/>
                <w:sz w:val="20"/>
                <w:szCs w:val="20"/>
                <w:lang w:eastAsia="tr-TR"/>
              </w:rPr>
            </w:pPr>
          </w:p>
        </w:tc>
        <w:tc>
          <w:tcPr>
            <w:tcW w:w="2764" w:type="dxa"/>
            <w:tcBorders>
              <w:top w:val="nil"/>
              <w:left w:val="nil"/>
              <w:bottom w:val="nil"/>
              <w:right w:val="nil"/>
            </w:tcBorders>
            <w:shd w:val="clear" w:color="auto" w:fill="auto"/>
            <w:noWrap/>
            <w:vAlign w:val="bottom"/>
            <w:hideMark/>
          </w:tcPr>
          <w:p w14:paraId="0CDDB6A3" w14:textId="77777777" w:rsidR="00D01667" w:rsidRPr="00D01667" w:rsidRDefault="00D01667" w:rsidP="00D01667">
            <w:pPr>
              <w:spacing w:after="0" w:line="240" w:lineRule="auto"/>
              <w:rPr>
                <w:rFonts w:ascii="Times New Roman" w:eastAsia="Times New Roman" w:hAnsi="Times New Roman" w:cs="Times New Roman"/>
                <w:sz w:val="20"/>
                <w:szCs w:val="20"/>
                <w:lang w:eastAsia="tr-TR"/>
              </w:rPr>
            </w:pPr>
          </w:p>
        </w:tc>
      </w:tr>
      <w:tr w:rsidR="00D01667" w:rsidRPr="00D01667" w14:paraId="311A3F9B" w14:textId="77777777" w:rsidTr="00D01667">
        <w:trPr>
          <w:trHeight w:val="315"/>
        </w:trPr>
        <w:tc>
          <w:tcPr>
            <w:tcW w:w="844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FCFC737" w14:textId="77777777" w:rsidR="00D01667" w:rsidRPr="00D01667" w:rsidRDefault="00D01667" w:rsidP="00D01667">
            <w:pPr>
              <w:spacing w:after="0" w:line="240" w:lineRule="auto"/>
              <w:jc w:val="center"/>
              <w:rPr>
                <w:rFonts w:ascii="Times New Roman" w:eastAsia="Times New Roman" w:hAnsi="Times New Roman" w:cs="Times New Roman"/>
                <w:b/>
                <w:bCs/>
                <w:color w:val="000000"/>
                <w:sz w:val="24"/>
                <w:szCs w:val="24"/>
                <w:lang w:eastAsia="tr-TR"/>
              </w:rPr>
            </w:pPr>
            <w:r w:rsidRPr="00D01667">
              <w:rPr>
                <w:rFonts w:ascii="Times New Roman" w:eastAsia="Times New Roman" w:hAnsi="Times New Roman" w:cs="Times New Roman"/>
                <w:b/>
                <w:bCs/>
                <w:color w:val="000000"/>
                <w:sz w:val="24"/>
                <w:szCs w:val="24"/>
                <w:lang w:eastAsia="tr-TR"/>
              </w:rPr>
              <w:t xml:space="preserve">01 Ocak - 30 Haziran 2024 </w:t>
            </w:r>
          </w:p>
        </w:tc>
      </w:tr>
      <w:tr w:rsidR="00D01667" w:rsidRPr="00D01667" w14:paraId="25DFFA67" w14:textId="77777777" w:rsidTr="00D01667">
        <w:trPr>
          <w:trHeight w:val="315"/>
        </w:trPr>
        <w:tc>
          <w:tcPr>
            <w:tcW w:w="567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06E0BE" w14:textId="77777777" w:rsidR="00D01667" w:rsidRPr="00D01667" w:rsidRDefault="00D01667" w:rsidP="00D01667">
            <w:pPr>
              <w:spacing w:after="0" w:line="240" w:lineRule="auto"/>
              <w:rPr>
                <w:rFonts w:ascii="Times New Roman" w:eastAsia="Times New Roman" w:hAnsi="Times New Roman" w:cs="Times New Roman"/>
                <w:sz w:val="24"/>
                <w:szCs w:val="24"/>
                <w:lang w:eastAsia="tr-TR"/>
              </w:rPr>
            </w:pPr>
            <w:r w:rsidRPr="00D01667">
              <w:rPr>
                <w:rFonts w:ascii="Times New Roman" w:eastAsia="Times New Roman" w:hAnsi="Times New Roman" w:cs="Times New Roman"/>
                <w:sz w:val="24"/>
                <w:szCs w:val="24"/>
                <w:lang w:eastAsia="tr-TR"/>
              </w:rPr>
              <w:t>Ortalama Fon Portföy Değeri</w:t>
            </w:r>
          </w:p>
        </w:tc>
        <w:tc>
          <w:tcPr>
            <w:tcW w:w="2764" w:type="dxa"/>
            <w:tcBorders>
              <w:top w:val="nil"/>
              <w:left w:val="nil"/>
              <w:bottom w:val="single" w:sz="4" w:space="0" w:color="auto"/>
              <w:right w:val="single" w:sz="8" w:space="0" w:color="auto"/>
            </w:tcBorders>
            <w:shd w:val="clear" w:color="auto" w:fill="auto"/>
            <w:noWrap/>
            <w:vAlign w:val="bottom"/>
            <w:hideMark/>
          </w:tcPr>
          <w:p w14:paraId="3DE8C525"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1.096.129.612,75</w:t>
            </w:r>
          </w:p>
        </w:tc>
      </w:tr>
      <w:tr w:rsidR="00D01667" w:rsidRPr="00D01667" w14:paraId="1EB28629" w14:textId="77777777" w:rsidTr="00D01667">
        <w:trPr>
          <w:trHeight w:val="315"/>
        </w:trPr>
        <w:tc>
          <w:tcPr>
            <w:tcW w:w="5676"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9612B8" w14:textId="77777777" w:rsidR="00D01667" w:rsidRPr="00D01667" w:rsidRDefault="00D01667" w:rsidP="00D01667">
            <w:pPr>
              <w:spacing w:after="0" w:line="240" w:lineRule="auto"/>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Toplam Faaliyet Giderleri</w:t>
            </w:r>
          </w:p>
        </w:tc>
        <w:tc>
          <w:tcPr>
            <w:tcW w:w="2764" w:type="dxa"/>
            <w:tcBorders>
              <w:top w:val="nil"/>
              <w:left w:val="nil"/>
              <w:bottom w:val="single" w:sz="4" w:space="0" w:color="auto"/>
              <w:right w:val="single" w:sz="8" w:space="0" w:color="auto"/>
            </w:tcBorders>
            <w:shd w:val="clear" w:color="auto" w:fill="auto"/>
            <w:noWrap/>
            <w:vAlign w:val="bottom"/>
            <w:hideMark/>
          </w:tcPr>
          <w:p w14:paraId="4458D364" w14:textId="77777777" w:rsidR="00D01667" w:rsidRPr="00D01667" w:rsidRDefault="00D01667" w:rsidP="00D01667">
            <w:pPr>
              <w:spacing w:after="0" w:line="240" w:lineRule="auto"/>
              <w:jc w:val="center"/>
              <w:rPr>
                <w:rFonts w:ascii="Times New Roman" w:eastAsia="Times New Roman" w:hAnsi="Times New Roman" w:cs="Times New Roman"/>
                <w:color w:val="000000"/>
                <w:sz w:val="24"/>
                <w:szCs w:val="24"/>
                <w:lang w:eastAsia="tr-TR"/>
              </w:rPr>
            </w:pPr>
            <w:r w:rsidRPr="00D01667">
              <w:rPr>
                <w:rFonts w:ascii="Times New Roman" w:eastAsia="Times New Roman" w:hAnsi="Times New Roman" w:cs="Times New Roman"/>
                <w:color w:val="000000"/>
                <w:sz w:val="24"/>
                <w:szCs w:val="24"/>
                <w:lang w:eastAsia="tr-TR"/>
              </w:rPr>
              <w:t>13.298.510,57</w:t>
            </w:r>
          </w:p>
        </w:tc>
      </w:tr>
      <w:tr w:rsidR="00D01667" w:rsidRPr="00D01667" w14:paraId="1BA9DDC6" w14:textId="77777777" w:rsidTr="00D01667">
        <w:trPr>
          <w:trHeight w:val="330"/>
        </w:trPr>
        <w:tc>
          <w:tcPr>
            <w:tcW w:w="5676"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1D19CC6" w14:textId="77777777" w:rsidR="00D01667" w:rsidRPr="00D01667" w:rsidRDefault="00D01667" w:rsidP="00D01667">
            <w:pPr>
              <w:spacing w:after="0" w:line="240" w:lineRule="auto"/>
              <w:rPr>
                <w:rFonts w:ascii="Times New Roman" w:eastAsia="Times New Roman" w:hAnsi="Times New Roman" w:cs="Times New Roman"/>
                <w:sz w:val="24"/>
                <w:szCs w:val="24"/>
                <w:lang w:eastAsia="tr-TR"/>
              </w:rPr>
            </w:pPr>
            <w:r w:rsidRPr="00D01667">
              <w:rPr>
                <w:rFonts w:ascii="Times New Roman" w:eastAsia="Times New Roman" w:hAnsi="Times New Roman" w:cs="Times New Roman"/>
                <w:sz w:val="24"/>
                <w:szCs w:val="24"/>
                <w:lang w:eastAsia="tr-TR"/>
              </w:rPr>
              <w:t>Toplam Faaliyet Giderleri / Ortalama Portföy Değeri (%)</w:t>
            </w:r>
          </w:p>
        </w:tc>
        <w:tc>
          <w:tcPr>
            <w:tcW w:w="2764" w:type="dxa"/>
            <w:tcBorders>
              <w:top w:val="nil"/>
              <w:left w:val="nil"/>
              <w:bottom w:val="single" w:sz="8" w:space="0" w:color="auto"/>
              <w:right w:val="single" w:sz="8" w:space="0" w:color="auto"/>
            </w:tcBorders>
            <w:shd w:val="clear" w:color="auto" w:fill="auto"/>
            <w:noWrap/>
            <w:vAlign w:val="bottom"/>
            <w:hideMark/>
          </w:tcPr>
          <w:p w14:paraId="21783584" w14:textId="77777777" w:rsidR="00D01667" w:rsidRPr="00D01667" w:rsidRDefault="00D01667" w:rsidP="00D01667">
            <w:pPr>
              <w:spacing w:after="0" w:line="240" w:lineRule="auto"/>
              <w:jc w:val="center"/>
              <w:rPr>
                <w:rFonts w:ascii="Times New Roman" w:eastAsia="Times New Roman" w:hAnsi="Times New Roman" w:cs="Times New Roman"/>
                <w:sz w:val="24"/>
                <w:szCs w:val="24"/>
                <w:lang w:eastAsia="tr-TR"/>
              </w:rPr>
            </w:pPr>
            <w:r w:rsidRPr="00D01667">
              <w:rPr>
                <w:rFonts w:ascii="Times New Roman" w:eastAsia="Times New Roman" w:hAnsi="Times New Roman" w:cs="Times New Roman"/>
                <w:sz w:val="24"/>
                <w:szCs w:val="24"/>
                <w:lang w:eastAsia="tr-TR"/>
              </w:rPr>
              <w:t>1,21</w:t>
            </w:r>
          </w:p>
        </w:tc>
      </w:tr>
    </w:tbl>
    <w:p w14:paraId="35903E30" w14:textId="77777777" w:rsidR="00DF5404" w:rsidRPr="00AD2630" w:rsidRDefault="00CC7520" w:rsidP="00CE6762">
      <w:pPr>
        <w:spacing w:after="0"/>
        <w:ind w:left="360"/>
        <w:rPr>
          <w:rFonts w:ascii="Times New Roman" w:hAnsi="Times New Roman" w:cs="Times New Roman"/>
        </w:rPr>
      </w:pPr>
      <w:r w:rsidRPr="00AD2630">
        <w:rPr>
          <w:rFonts w:ascii="Times New Roman" w:hAnsi="Times New Roman" w:cs="Times New Roman"/>
          <w:sz w:val="24"/>
          <w:szCs w:val="24"/>
        </w:rPr>
        <w:t xml:space="preserve"> </w:t>
      </w:r>
    </w:p>
    <w:p w14:paraId="119B6268" w14:textId="1F4BAF49" w:rsidR="00A37098" w:rsidRPr="00AD2630" w:rsidRDefault="00A37098" w:rsidP="00CE6762">
      <w:pPr>
        <w:spacing w:after="0"/>
        <w:ind w:left="360"/>
        <w:rPr>
          <w:rFonts w:ascii="Times New Roman" w:hAnsi="Times New Roman" w:cs="Times New Roman"/>
        </w:rPr>
      </w:pPr>
    </w:p>
    <w:p w14:paraId="48E2ACEA" w14:textId="32E4E113" w:rsidR="00237C1F" w:rsidRPr="00AD2630" w:rsidRDefault="00237C1F" w:rsidP="00CE6762">
      <w:pPr>
        <w:spacing w:after="0"/>
        <w:ind w:left="360"/>
        <w:rPr>
          <w:rFonts w:ascii="Times New Roman" w:hAnsi="Times New Roman" w:cs="Times New Roman"/>
        </w:rPr>
      </w:pPr>
    </w:p>
    <w:p w14:paraId="47763012" w14:textId="77777777" w:rsidR="00D34E03" w:rsidRPr="00AD2630" w:rsidRDefault="00D34E03" w:rsidP="00CC7520">
      <w:pPr>
        <w:pStyle w:val="ListParagraph"/>
        <w:spacing w:after="0"/>
        <w:rPr>
          <w:rFonts w:ascii="Times New Roman" w:hAnsi="Times New Roman" w:cs="Times New Roman"/>
          <w:sz w:val="24"/>
          <w:szCs w:val="24"/>
        </w:rPr>
      </w:pPr>
    </w:p>
    <w:p w14:paraId="3B093D03" w14:textId="6233CE91" w:rsidR="00CC7520" w:rsidRPr="00AD2630" w:rsidRDefault="00EE1C8B" w:rsidP="00D34E03">
      <w:pPr>
        <w:pStyle w:val="ListParagraph"/>
        <w:numPr>
          <w:ilvl w:val="0"/>
          <w:numId w:val="3"/>
        </w:numPr>
        <w:spacing w:after="0"/>
        <w:ind w:left="360" w:hanging="76"/>
        <w:jc w:val="both"/>
        <w:rPr>
          <w:rFonts w:ascii="Times New Roman" w:hAnsi="Times New Roman" w:cs="Times New Roman"/>
          <w:sz w:val="24"/>
          <w:szCs w:val="24"/>
        </w:rPr>
      </w:pPr>
      <w:r w:rsidRPr="00AD2630">
        <w:rPr>
          <w:rFonts w:ascii="Times New Roman" w:hAnsi="Times New Roman" w:cs="Times New Roman"/>
          <w:sz w:val="24"/>
          <w:szCs w:val="24"/>
        </w:rPr>
        <w:lastRenderedPageBreak/>
        <w:t>P</w:t>
      </w:r>
      <w:r w:rsidR="00CC7520" w:rsidRPr="00AD2630">
        <w:rPr>
          <w:rFonts w:ascii="Times New Roman" w:hAnsi="Times New Roman" w:cs="Times New Roman"/>
          <w:sz w:val="24"/>
          <w:szCs w:val="24"/>
        </w:rPr>
        <w:t>erformans sunum dönemi içinde yatırım stratejisinde ya da eşik değerinde herhangi bir değişiklik yapılmamıştır.</w:t>
      </w:r>
    </w:p>
    <w:p w14:paraId="788872AE" w14:textId="77777777" w:rsidR="00D34E03" w:rsidRPr="00AD2630" w:rsidRDefault="00D34E03" w:rsidP="00D34E03">
      <w:pPr>
        <w:pStyle w:val="ListParagraph"/>
        <w:spacing w:after="0"/>
        <w:ind w:left="360"/>
        <w:jc w:val="both"/>
        <w:rPr>
          <w:rFonts w:ascii="Times New Roman" w:hAnsi="Times New Roman" w:cs="Times New Roman"/>
          <w:sz w:val="24"/>
          <w:szCs w:val="24"/>
        </w:rPr>
      </w:pPr>
    </w:p>
    <w:p w14:paraId="7C35BAE5" w14:textId="77777777" w:rsidR="00F42315" w:rsidRPr="00AD2630" w:rsidRDefault="00F42315" w:rsidP="00F42315">
      <w:pPr>
        <w:pStyle w:val="ListParagraph"/>
        <w:numPr>
          <w:ilvl w:val="0"/>
          <w:numId w:val="3"/>
        </w:numPr>
        <w:tabs>
          <w:tab w:val="left" w:pos="426"/>
          <w:tab w:val="left" w:pos="9356"/>
        </w:tabs>
        <w:jc w:val="both"/>
        <w:rPr>
          <w:rFonts w:ascii="Times New Roman" w:hAnsi="Times New Roman" w:cs="Times New Roman"/>
          <w:sz w:val="24"/>
          <w:szCs w:val="24"/>
        </w:rPr>
      </w:pPr>
      <w:r w:rsidRPr="00AD2630">
        <w:rPr>
          <w:rFonts w:ascii="Times New Roman" w:hAnsi="Times New Roman" w:cs="Times New Roman"/>
          <w:b/>
          <w:bCs/>
          <w:sz w:val="24"/>
          <w:szCs w:val="24"/>
        </w:rPr>
        <w:t>a)</w:t>
      </w:r>
      <w:r w:rsidRPr="00AD2630">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AD2630" w:rsidRDefault="00F42315" w:rsidP="00D34E03">
      <w:pPr>
        <w:pStyle w:val="ListParagraph"/>
        <w:tabs>
          <w:tab w:val="left" w:pos="426"/>
          <w:tab w:val="left" w:pos="9356"/>
        </w:tabs>
        <w:jc w:val="both"/>
        <w:rPr>
          <w:rFonts w:ascii="Times New Roman" w:hAnsi="Times New Roman" w:cs="Times New Roman"/>
          <w:sz w:val="24"/>
          <w:szCs w:val="24"/>
        </w:rPr>
      </w:pPr>
      <w:r w:rsidRPr="00AD2630">
        <w:rPr>
          <w:rFonts w:ascii="Times New Roman" w:hAnsi="Times New Roman" w:cs="Times New Roman"/>
          <w:b/>
          <w:bCs/>
          <w:sz w:val="24"/>
          <w:szCs w:val="24"/>
        </w:rPr>
        <w:t>b)</w:t>
      </w:r>
      <w:r w:rsidRPr="00AD2630">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Pr="00AD2630" w:rsidRDefault="00D34E03" w:rsidP="00D34E03">
      <w:pPr>
        <w:pStyle w:val="ListParagraph"/>
        <w:tabs>
          <w:tab w:val="left" w:pos="426"/>
          <w:tab w:val="left" w:pos="9356"/>
        </w:tabs>
        <w:jc w:val="both"/>
        <w:rPr>
          <w:rFonts w:ascii="Times New Roman" w:hAnsi="Times New Roman" w:cs="Times New Roman"/>
          <w:sz w:val="24"/>
          <w:szCs w:val="24"/>
        </w:rPr>
      </w:pPr>
    </w:p>
    <w:p w14:paraId="1937CA62" w14:textId="77777777" w:rsidR="00275FAF" w:rsidRPr="00AD2630" w:rsidRDefault="00275FAF" w:rsidP="00275FAF">
      <w:pPr>
        <w:pStyle w:val="ListParagraph"/>
        <w:numPr>
          <w:ilvl w:val="0"/>
          <w:numId w:val="1"/>
        </w:numPr>
        <w:spacing w:after="0"/>
        <w:rPr>
          <w:rFonts w:ascii="Times New Roman" w:hAnsi="Times New Roman" w:cs="Times New Roman"/>
          <w:b/>
          <w:sz w:val="24"/>
          <w:szCs w:val="24"/>
        </w:rPr>
      </w:pPr>
      <w:r w:rsidRPr="00AD2630">
        <w:rPr>
          <w:rFonts w:ascii="Times New Roman" w:hAnsi="Times New Roman" w:cs="Times New Roman"/>
          <w:b/>
          <w:sz w:val="24"/>
          <w:szCs w:val="24"/>
        </w:rPr>
        <w:t>İLAVE BİLGİLER VE AÇIKLAMALAR</w:t>
      </w:r>
    </w:p>
    <w:p w14:paraId="0C5BD4F7" w14:textId="77777777" w:rsidR="00275FAF" w:rsidRPr="00AD2630" w:rsidRDefault="00275FAF" w:rsidP="001B1C6E">
      <w:pPr>
        <w:spacing w:after="0"/>
        <w:ind w:left="360"/>
        <w:jc w:val="both"/>
        <w:rPr>
          <w:rFonts w:ascii="Times New Roman" w:hAnsi="Times New Roman" w:cs="Times New Roman"/>
          <w:b/>
          <w:sz w:val="24"/>
          <w:szCs w:val="24"/>
        </w:rPr>
      </w:pPr>
    </w:p>
    <w:p w14:paraId="3A05C685" w14:textId="696ECC11" w:rsidR="00275FAF" w:rsidRPr="00AD2630" w:rsidRDefault="00275FAF" w:rsidP="00D42D4B">
      <w:pPr>
        <w:spacing w:after="0"/>
        <w:ind w:left="709" w:firstLine="567"/>
        <w:jc w:val="both"/>
        <w:rPr>
          <w:rFonts w:ascii="Times New Roman" w:hAnsi="Times New Roman" w:cs="Times New Roman"/>
          <w:b/>
          <w:sz w:val="24"/>
          <w:szCs w:val="24"/>
        </w:rPr>
      </w:pPr>
      <w:r w:rsidRPr="00AD2630">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AD2630">
        <w:rPr>
          <w:rFonts w:ascii="Times New Roman" w:hAnsi="Times New Roman" w:cs="Times New Roman"/>
          <w:sz w:val="24"/>
          <w:szCs w:val="24"/>
        </w:rPr>
        <w:t>)” inin</w:t>
      </w:r>
      <w:r w:rsidRPr="00AD2630">
        <w:rPr>
          <w:rFonts w:ascii="Times New Roman" w:hAnsi="Times New Roman" w:cs="Times New Roman"/>
          <w:sz w:val="24"/>
          <w:szCs w:val="24"/>
        </w:rPr>
        <w:t xml:space="preserve"> (“Tebliğ”) hükümleri doğrultusunda hazırlanmıştır.</w:t>
      </w:r>
    </w:p>
    <w:p w14:paraId="0A9DBE67" w14:textId="77777777" w:rsidR="0041052D" w:rsidRPr="00AD2630" w:rsidRDefault="0041052D" w:rsidP="00D42D4B">
      <w:pPr>
        <w:pStyle w:val="ListParagraph"/>
        <w:spacing w:after="0"/>
        <w:ind w:left="709" w:firstLine="567"/>
        <w:jc w:val="both"/>
        <w:rPr>
          <w:rFonts w:ascii="Times New Roman" w:hAnsi="Times New Roman" w:cs="Times New Roman"/>
          <w:b/>
          <w:sz w:val="24"/>
          <w:szCs w:val="24"/>
        </w:rPr>
      </w:pPr>
    </w:p>
    <w:p w14:paraId="609E1FFA" w14:textId="35A1C1CC" w:rsidR="00275FAF" w:rsidRPr="00AD2630" w:rsidRDefault="00275FAF" w:rsidP="00D42D4B">
      <w:pPr>
        <w:spacing w:after="0"/>
        <w:ind w:left="709" w:firstLine="567"/>
        <w:jc w:val="both"/>
        <w:rPr>
          <w:rFonts w:ascii="Times New Roman" w:hAnsi="Times New Roman" w:cs="Times New Roman"/>
          <w:sz w:val="24"/>
          <w:szCs w:val="24"/>
        </w:rPr>
      </w:pPr>
      <w:r w:rsidRPr="00AD2630">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AD2630">
        <w:rPr>
          <w:rFonts w:ascii="Times New Roman" w:hAnsi="Times New Roman" w:cs="Times New Roman"/>
          <w:sz w:val="24"/>
          <w:szCs w:val="24"/>
        </w:rPr>
        <w:t xml:space="preserve"> maruz kalabileceği riskler aşağıdaki gibidir:</w:t>
      </w:r>
    </w:p>
    <w:p w14:paraId="116CB499"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sz w:val="24"/>
          <w:szCs w:val="24"/>
        </w:rPr>
      </w:pPr>
      <w:r w:rsidRPr="00AD2630">
        <w:rPr>
          <w:rFonts w:ascii="Times New Roman" w:hAnsi="Times New Roman" w:cs="Times New Roman"/>
          <w:noProof/>
          <w:sz w:val="24"/>
          <w:szCs w:val="24"/>
        </w:rPr>
        <mc:AlternateContent>
          <mc:Choice Requires="wps">
            <w:drawing>
              <wp:anchor distT="0" distB="0" distL="114300" distR="114300" simplePos="0" relativeHeight="251657216" behindDoc="1" locked="0" layoutInCell="1" allowOverlap="1" wp14:anchorId="53898A22" wp14:editId="5E850F52">
                <wp:simplePos x="0" y="0"/>
                <wp:positionH relativeFrom="page">
                  <wp:posOffset>5989320</wp:posOffset>
                </wp:positionH>
                <wp:positionV relativeFrom="paragraph">
                  <wp:posOffset>1905</wp:posOffset>
                </wp:positionV>
                <wp:extent cx="12065" cy="173990"/>
                <wp:effectExtent l="0" t="0"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73990"/>
                        </a:xfrm>
                        <a:custGeom>
                          <a:avLst/>
                          <a:gdLst>
                            <a:gd name="T0" fmla="+- 0 9451 9432"/>
                            <a:gd name="T1" fmla="*/ T0 w 19"/>
                            <a:gd name="T2" fmla="+- 0 3 3"/>
                            <a:gd name="T3" fmla="*/ 3 h 274"/>
                            <a:gd name="T4" fmla="+- 0 9432 9432"/>
                            <a:gd name="T5" fmla="*/ T4 w 19"/>
                            <a:gd name="T6" fmla="+- 0 3 3"/>
                            <a:gd name="T7" fmla="*/ 3 h 274"/>
                            <a:gd name="T8" fmla="+- 0 9432 9432"/>
                            <a:gd name="T9" fmla="*/ T8 w 19"/>
                            <a:gd name="T10" fmla="+- 0 8 3"/>
                            <a:gd name="T11" fmla="*/ 8 h 274"/>
                            <a:gd name="T12" fmla="+- 0 9439 9432"/>
                            <a:gd name="T13" fmla="*/ T12 w 19"/>
                            <a:gd name="T14" fmla="+- 0 8 3"/>
                            <a:gd name="T15" fmla="*/ 8 h 274"/>
                            <a:gd name="T16" fmla="+- 0 9439 9432"/>
                            <a:gd name="T17" fmla="*/ T16 w 19"/>
                            <a:gd name="T18" fmla="+- 0 272 3"/>
                            <a:gd name="T19" fmla="*/ 272 h 274"/>
                            <a:gd name="T20" fmla="+- 0 9432 9432"/>
                            <a:gd name="T21" fmla="*/ T20 w 19"/>
                            <a:gd name="T22" fmla="+- 0 272 3"/>
                            <a:gd name="T23" fmla="*/ 272 h 274"/>
                            <a:gd name="T24" fmla="+- 0 9432 9432"/>
                            <a:gd name="T25" fmla="*/ T24 w 19"/>
                            <a:gd name="T26" fmla="+- 0 277 3"/>
                            <a:gd name="T27" fmla="*/ 277 h 274"/>
                            <a:gd name="T28" fmla="+- 0 9451 9432"/>
                            <a:gd name="T29" fmla="*/ T28 w 19"/>
                            <a:gd name="T30" fmla="+- 0 277 3"/>
                            <a:gd name="T31" fmla="*/ 277 h 274"/>
                            <a:gd name="T32" fmla="+- 0 9451 9432"/>
                            <a:gd name="T33" fmla="*/ T32 w 19"/>
                            <a:gd name="T34" fmla="+- 0 272 3"/>
                            <a:gd name="T35" fmla="*/ 272 h 274"/>
                            <a:gd name="T36" fmla="+- 0 9444 9432"/>
                            <a:gd name="T37" fmla="*/ T36 w 19"/>
                            <a:gd name="T38" fmla="+- 0 272 3"/>
                            <a:gd name="T39" fmla="*/ 272 h 274"/>
                            <a:gd name="T40" fmla="+- 0 9444 9432"/>
                            <a:gd name="T41" fmla="*/ T40 w 19"/>
                            <a:gd name="T42" fmla="+- 0 8 3"/>
                            <a:gd name="T43" fmla="*/ 8 h 274"/>
                            <a:gd name="T44" fmla="+- 0 9451 9432"/>
                            <a:gd name="T45" fmla="*/ T44 w 19"/>
                            <a:gd name="T46" fmla="+- 0 8 3"/>
                            <a:gd name="T47" fmla="*/ 8 h 274"/>
                            <a:gd name="T48" fmla="+- 0 9451 9432"/>
                            <a:gd name="T49" fmla="*/ T48 w 19"/>
                            <a:gd name="T50" fmla="+- 0 3 3"/>
                            <a:gd name="T51" fmla="*/ 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 h="274">
                              <a:moveTo>
                                <a:pt x="19" y="0"/>
                              </a:moveTo>
                              <a:lnTo>
                                <a:pt x="0" y="0"/>
                              </a:lnTo>
                              <a:lnTo>
                                <a:pt x="0" y="5"/>
                              </a:lnTo>
                              <a:lnTo>
                                <a:pt x="7" y="5"/>
                              </a:lnTo>
                              <a:lnTo>
                                <a:pt x="7" y="269"/>
                              </a:lnTo>
                              <a:lnTo>
                                <a:pt x="0" y="269"/>
                              </a:lnTo>
                              <a:lnTo>
                                <a:pt x="0" y="274"/>
                              </a:lnTo>
                              <a:lnTo>
                                <a:pt x="19" y="274"/>
                              </a:lnTo>
                              <a:lnTo>
                                <a:pt x="19" y="269"/>
                              </a:lnTo>
                              <a:lnTo>
                                <a:pt x="12" y="269"/>
                              </a:lnTo>
                              <a:lnTo>
                                <a:pt x="12" y="5"/>
                              </a:lnTo>
                              <a:lnTo>
                                <a:pt x="19" y="5"/>
                              </a:lnTo>
                              <a:lnTo>
                                <a:pt x="19"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C3F9DF" id="Freeform 25" o:spid="_x0000_s1026" style="position:absolute;margin-left:471.6pt;margin-top:.15pt;width:.95pt;height:1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" path="m19,l,,,5r7,l7,269r-7,l,274r19,l19,269r-7,l12,5r7,l19,xe" fillcolor="#7d7d7d" stroked="f">
                <v:path arrowok="t" o:connecttype="custom" o:connectlocs="12065,1905;0,1905;0,5080;4445,5080;4445,172720;0,172720;0,175895;12065,175895;12065,172720;7620,172720;7620,5080;12065,5080;12065,1905" o:connectangles="0,0,0,0,0,0,0,0,0,0,0,0,0"/>
                <w10:wrap anchorx="page"/>
              </v:shape>
            </w:pict>
          </mc:Fallback>
        </mc:AlternateContent>
      </w:r>
      <w:r w:rsidRPr="00AD2630">
        <w:rPr>
          <w:rFonts w:ascii="Times New Roman" w:hAnsi="Times New Roman" w:cs="Times New Roman"/>
          <w:b/>
          <w:sz w:val="24"/>
          <w:szCs w:val="24"/>
        </w:rPr>
        <w:t xml:space="preserve">Piyasa Riski: </w:t>
      </w:r>
      <w:r w:rsidRPr="00AD2630">
        <w:rPr>
          <w:rFonts w:ascii="Times New Roman" w:hAnsi="Times New Roman" w:cs="Times New Roman"/>
          <w:sz w:val="24"/>
          <w:szCs w:val="24"/>
        </w:rPr>
        <w:t xml:space="preserve">Piyasa riski ile borçlanmayı temsil eden finansal araçların, diğer menkul kıymetlerin, türev sözleşmelere ilişkin taşınan pozisyonların değerinde, faiz oranlarındaki dalgalanmalar nedeniyle meydana gelebilecek zarar riski ifade edilmektedir. Söz konusu risklerin detaylarına aşağıda yer verilmektedir: </w:t>
      </w:r>
    </w:p>
    <w:p w14:paraId="12590B3E" w14:textId="77777777" w:rsidR="00AD2630" w:rsidRPr="00AD2630" w:rsidRDefault="00AD2630" w:rsidP="00AD2630">
      <w:pPr>
        <w:pStyle w:val="ListParagraph"/>
        <w:tabs>
          <w:tab w:val="left" w:pos="1200"/>
        </w:tabs>
        <w:ind w:left="0" w:right="394" w:firstLine="850"/>
        <w:jc w:val="right"/>
        <w:rPr>
          <w:rFonts w:ascii="Times New Roman" w:hAnsi="Times New Roman" w:cs="Times New Roman"/>
          <w:sz w:val="24"/>
          <w:szCs w:val="24"/>
        </w:rPr>
      </w:pPr>
    </w:p>
    <w:p w14:paraId="7D110773" w14:textId="77777777" w:rsidR="00AD2630" w:rsidRPr="00AD2630" w:rsidRDefault="00AD2630" w:rsidP="00AD2630">
      <w:pPr>
        <w:numPr>
          <w:ilvl w:val="0"/>
          <w:numId w:val="11"/>
        </w:numPr>
        <w:spacing w:after="0" w:line="240" w:lineRule="auto"/>
        <w:ind w:left="0" w:right="394" w:firstLine="850"/>
        <w:jc w:val="both"/>
        <w:rPr>
          <w:rFonts w:ascii="Times New Roman" w:hAnsi="Times New Roman" w:cs="Times New Roman"/>
          <w:sz w:val="24"/>
          <w:szCs w:val="24"/>
        </w:rPr>
      </w:pPr>
      <w:r w:rsidRPr="00AD2630">
        <w:rPr>
          <w:rFonts w:ascii="Times New Roman" w:hAnsi="Times New Roman" w:cs="Times New Roman"/>
          <w:b/>
          <w:bCs/>
          <w:sz w:val="24"/>
          <w:szCs w:val="24"/>
        </w:rPr>
        <w:t xml:space="preserve">Faiz Oranı Riski: </w:t>
      </w:r>
      <w:r w:rsidRPr="00AD2630">
        <w:rPr>
          <w:rFonts w:ascii="Times New Roman" w:hAnsi="Times New Roman" w:cs="Times New Roman"/>
          <w:sz w:val="24"/>
          <w:szCs w:val="24"/>
        </w:rPr>
        <w:t xml:space="preserve">Fon portföyüne faize dayalı varlıkların (borçlanma aracı, ters repo vb.) dahil edilmesi halinde, söz konusu varlıkların değerinde piyasalarda yaşanabilecek faiz oranları değişimleri nedeniyle oluşan riski ifade eder. </w:t>
      </w:r>
    </w:p>
    <w:p w14:paraId="1157B8A2" w14:textId="77777777" w:rsidR="00AD2630" w:rsidRPr="00AD2630" w:rsidRDefault="00AD2630" w:rsidP="00AD2630">
      <w:pPr>
        <w:ind w:right="394" w:firstLine="850"/>
        <w:jc w:val="both"/>
        <w:rPr>
          <w:rFonts w:ascii="Times New Roman" w:hAnsi="Times New Roman" w:cs="Times New Roman"/>
          <w:sz w:val="24"/>
          <w:szCs w:val="24"/>
        </w:rPr>
      </w:pPr>
    </w:p>
    <w:p w14:paraId="6D52E5A8" w14:textId="77777777" w:rsidR="00AD2630" w:rsidRPr="00AD2630" w:rsidRDefault="00AD2630" w:rsidP="00AD2630">
      <w:pPr>
        <w:numPr>
          <w:ilvl w:val="0"/>
          <w:numId w:val="11"/>
        </w:numPr>
        <w:spacing w:after="0" w:line="240" w:lineRule="auto"/>
        <w:ind w:left="0" w:right="394" w:firstLine="850"/>
        <w:jc w:val="both"/>
        <w:rPr>
          <w:rFonts w:ascii="Times New Roman" w:hAnsi="Times New Roman" w:cs="Times New Roman"/>
          <w:bCs/>
          <w:sz w:val="24"/>
          <w:szCs w:val="24"/>
        </w:rPr>
      </w:pPr>
      <w:r w:rsidRPr="00AD2630">
        <w:rPr>
          <w:rFonts w:ascii="Times New Roman" w:hAnsi="Times New Roman" w:cs="Times New Roman"/>
          <w:b/>
          <w:sz w:val="24"/>
          <w:szCs w:val="24"/>
        </w:rPr>
        <w:t xml:space="preserve">Kar Payı Oranı Riski: </w:t>
      </w:r>
      <w:r w:rsidRPr="00AD2630">
        <w:rPr>
          <w:rFonts w:ascii="Times New Roman" w:hAnsi="Times New Roman" w:cs="Times New Roman"/>
          <w:bCs/>
          <w:sz w:val="24"/>
          <w:szCs w:val="24"/>
        </w:rPr>
        <w:t>Fon portföyüne kira sertifikası, katılma hesabı gibi kâra katılım olanağı sağlayan katılım finans ürünlerinin dahil edilmesi durumunda, söz konusu yatırımların getiri oranındaki değişimler nedeniyle maruz kalınabilecek zarar olasılığıdır.</w:t>
      </w:r>
    </w:p>
    <w:p w14:paraId="204150D3" w14:textId="77777777" w:rsidR="00AD2630" w:rsidRPr="00AD2630" w:rsidRDefault="00AD2630" w:rsidP="00AD2630">
      <w:pPr>
        <w:pStyle w:val="ListParagraph"/>
        <w:ind w:left="0" w:right="394" w:firstLine="850"/>
        <w:rPr>
          <w:rFonts w:ascii="Times New Roman" w:hAnsi="Times New Roman" w:cs="Times New Roman"/>
          <w:bCs/>
          <w:sz w:val="24"/>
          <w:szCs w:val="24"/>
        </w:rPr>
      </w:pPr>
    </w:p>
    <w:p w14:paraId="04C66C9F" w14:textId="77777777" w:rsidR="00AD2630" w:rsidRPr="00AD2630" w:rsidRDefault="00AD2630" w:rsidP="00AD2630">
      <w:pPr>
        <w:numPr>
          <w:ilvl w:val="0"/>
          <w:numId w:val="11"/>
        </w:numPr>
        <w:spacing w:after="0" w:line="240" w:lineRule="auto"/>
        <w:ind w:left="0" w:right="394" w:firstLine="850"/>
        <w:jc w:val="both"/>
        <w:rPr>
          <w:rFonts w:ascii="Times New Roman" w:hAnsi="Times New Roman" w:cs="Times New Roman"/>
          <w:bCs/>
          <w:sz w:val="24"/>
          <w:szCs w:val="24"/>
        </w:rPr>
      </w:pPr>
      <w:r w:rsidRPr="00AD2630">
        <w:rPr>
          <w:rFonts w:ascii="Times New Roman" w:hAnsi="Times New Roman" w:cs="Times New Roman"/>
          <w:b/>
          <w:sz w:val="24"/>
          <w:szCs w:val="24"/>
        </w:rPr>
        <w:t>Kira Sertifikası Fiyat Riski:</w:t>
      </w:r>
      <w:r w:rsidRPr="00AD2630">
        <w:rPr>
          <w:rFonts w:ascii="Times New Roman" w:hAnsi="Times New Roman" w:cs="Times New Roman"/>
          <w:bCs/>
          <w:sz w:val="24"/>
          <w:szCs w:val="24"/>
        </w:rPr>
        <w:t xml:space="preserve"> Fon portföyüne kira sertifikası dahil edilmesi halinde, kira sertifikalarının fiyatlarında meydana gelebilecek değişiklikler nedeniyle portföyün maruz kalacağı zarar olasılığını ifade etmektedir.</w:t>
      </w:r>
    </w:p>
    <w:p w14:paraId="4B41CB8E" w14:textId="77777777" w:rsidR="00AD2630" w:rsidRPr="00AD2630" w:rsidRDefault="00AD2630" w:rsidP="00AD2630">
      <w:pPr>
        <w:pStyle w:val="ListParagraph"/>
        <w:tabs>
          <w:tab w:val="left" w:pos="1200"/>
        </w:tabs>
        <w:ind w:left="0" w:right="394" w:firstLine="850"/>
        <w:jc w:val="right"/>
        <w:rPr>
          <w:rFonts w:ascii="Times New Roman" w:hAnsi="Times New Roman" w:cs="Times New Roman"/>
          <w:sz w:val="24"/>
          <w:szCs w:val="24"/>
        </w:rPr>
      </w:pPr>
    </w:p>
    <w:p w14:paraId="362ADE7A"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sz w:val="24"/>
          <w:szCs w:val="24"/>
        </w:rPr>
      </w:pPr>
      <w:r w:rsidRPr="00AD2630">
        <w:rPr>
          <w:rFonts w:ascii="Times New Roman" w:hAnsi="Times New Roman" w:cs="Times New Roman"/>
          <w:b/>
          <w:sz w:val="24"/>
          <w:szCs w:val="24"/>
        </w:rPr>
        <w:t>Karşı Taraf Riski:</w:t>
      </w:r>
      <w:r w:rsidRPr="00AD2630">
        <w:rPr>
          <w:rFonts w:ascii="Times New Roman" w:hAnsi="Times New Roman" w:cs="Times New Roman"/>
          <w:sz w:val="24"/>
          <w:szCs w:val="24"/>
        </w:rPr>
        <w:t xml:space="preserve"> Karşı tarafın sözleşmeden kaynaklanan yükümlülüklerini yerine getirmek istememesi ve/veya yerine getirememesi veya takas işlemlerinde ortaya </w:t>
      </w:r>
      <w:r w:rsidRPr="00AD2630">
        <w:rPr>
          <w:rFonts w:ascii="Times New Roman" w:hAnsi="Times New Roman" w:cs="Times New Roman"/>
          <w:sz w:val="24"/>
          <w:szCs w:val="24"/>
        </w:rPr>
        <w:lastRenderedPageBreak/>
        <w:t>çıkan aksaklıklar sonucunda ödemenin yapılamaması riskini ifade etmektedir.</w:t>
      </w:r>
    </w:p>
    <w:p w14:paraId="25A5CAA2" w14:textId="77777777" w:rsidR="00AD2630" w:rsidRPr="00AD2630" w:rsidRDefault="00AD2630" w:rsidP="00AD2630">
      <w:pPr>
        <w:pStyle w:val="ListParagraph"/>
        <w:tabs>
          <w:tab w:val="left" w:pos="1200"/>
        </w:tabs>
        <w:ind w:left="0" w:right="394" w:firstLine="850"/>
        <w:jc w:val="right"/>
        <w:rPr>
          <w:rFonts w:ascii="Times New Roman" w:hAnsi="Times New Roman" w:cs="Times New Roman"/>
          <w:sz w:val="24"/>
          <w:szCs w:val="24"/>
        </w:rPr>
      </w:pPr>
    </w:p>
    <w:p w14:paraId="645B7A4C"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sz w:val="24"/>
          <w:szCs w:val="24"/>
        </w:rPr>
      </w:pPr>
      <w:r w:rsidRPr="00AD2630">
        <w:rPr>
          <w:rFonts w:ascii="Times New Roman" w:hAnsi="Times New Roman" w:cs="Times New Roman"/>
          <w:b/>
          <w:sz w:val="24"/>
          <w:szCs w:val="24"/>
        </w:rPr>
        <w:t>Likidite Riski:</w:t>
      </w:r>
      <w:r w:rsidRPr="00AD2630">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246FA076" w14:textId="77777777" w:rsidR="00AD2630" w:rsidRPr="00AD2630" w:rsidRDefault="00AD2630" w:rsidP="00AD2630">
      <w:pPr>
        <w:pStyle w:val="ListParagraph"/>
        <w:rPr>
          <w:rFonts w:ascii="Times New Roman" w:hAnsi="Times New Roman" w:cs="Times New Roman"/>
          <w:sz w:val="24"/>
          <w:szCs w:val="24"/>
        </w:rPr>
      </w:pPr>
    </w:p>
    <w:p w14:paraId="696B8317"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bCs/>
          <w:sz w:val="24"/>
          <w:szCs w:val="24"/>
        </w:rPr>
      </w:pPr>
      <w:r w:rsidRPr="00AD2630">
        <w:rPr>
          <w:rFonts w:ascii="Times New Roman" w:hAnsi="Times New Roman" w:cs="Times New Roman"/>
          <w:b/>
          <w:bCs/>
          <w:sz w:val="24"/>
          <w:szCs w:val="24"/>
        </w:rPr>
        <w:t xml:space="preserve">Kaldıraç Yaratan İşlem Riski: </w:t>
      </w:r>
      <w:r w:rsidRPr="00AD2630">
        <w:rPr>
          <w:rFonts w:ascii="Times New Roman" w:hAnsi="Times New Roman" w:cs="Times New Roman"/>
          <w:bCs/>
          <w:sz w:val="24"/>
          <w:szCs w:val="24"/>
        </w:rPr>
        <w:t xml:space="preserve">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 </w:t>
      </w:r>
    </w:p>
    <w:p w14:paraId="5C90FA59" w14:textId="77777777" w:rsidR="00AD2630" w:rsidRPr="00AD2630" w:rsidRDefault="00AD2630" w:rsidP="00AD2630">
      <w:pPr>
        <w:pStyle w:val="ListParagraph"/>
        <w:tabs>
          <w:tab w:val="left" w:pos="1200"/>
        </w:tabs>
        <w:ind w:left="0" w:right="394" w:firstLine="850"/>
        <w:jc w:val="right"/>
        <w:rPr>
          <w:rFonts w:ascii="Times New Roman" w:hAnsi="Times New Roman" w:cs="Times New Roman"/>
          <w:sz w:val="24"/>
          <w:szCs w:val="24"/>
        </w:rPr>
      </w:pPr>
    </w:p>
    <w:p w14:paraId="40E0FEE0"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sz w:val="24"/>
          <w:szCs w:val="24"/>
        </w:rPr>
      </w:pPr>
      <w:r w:rsidRPr="00AD2630">
        <w:rPr>
          <w:rFonts w:ascii="Times New Roman" w:hAnsi="Times New Roman" w:cs="Times New Roman"/>
          <w:b/>
          <w:sz w:val="24"/>
          <w:szCs w:val="24"/>
        </w:rPr>
        <w:t>Operasyonel Risk:</w:t>
      </w:r>
      <w:r w:rsidRPr="00AD2630">
        <w:rPr>
          <w:rFonts w:ascii="Times New Roman" w:hAnsi="Times New Roman" w:cs="Times New Roman"/>
          <w:sz w:val="24"/>
          <w:szCs w:val="24"/>
        </w:rPr>
        <w:t xml:space="preserve">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129EA95A" w14:textId="77777777" w:rsidR="00AD2630" w:rsidRPr="00AD2630" w:rsidRDefault="00AD2630" w:rsidP="00AD2630">
      <w:pPr>
        <w:pStyle w:val="ListParagraph"/>
        <w:tabs>
          <w:tab w:val="left" w:pos="1200"/>
        </w:tabs>
        <w:ind w:left="0" w:right="394" w:firstLine="850"/>
        <w:jc w:val="center"/>
        <w:rPr>
          <w:rFonts w:ascii="Times New Roman" w:hAnsi="Times New Roman" w:cs="Times New Roman"/>
          <w:sz w:val="24"/>
          <w:szCs w:val="24"/>
        </w:rPr>
      </w:pPr>
    </w:p>
    <w:p w14:paraId="6BD38A3B"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sz w:val="24"/>
          <w:szCs w:val="24"/>
        </w:rPr>
      </w:pPr>
      <w:r w:rsidRPr="00AD2630">
        <w:rPr>
          <w:rFonts w:ascii="Times New Roman" w:hAnsi="Times New Roman" w:cs="Times New Roman"/>
          <w:b/>
          <w:sz w:val="24"/>
          <w:szCs w:val="24"/>
        </w:rPr>
        <w:t>Yoğunlaşma Riski:</w:t>
      </w:r>
      <w:r w:rsidRPr="00AD2630">
        <w:rPr>
          <w:rFonts w:ascii="Times New Roman" w:hAnsi="Times New Roman" w:cs="Times New Roman"/>
          <w:sz w:val="24"/>
          <w:szCs w:val="24"/>
        </w:rPr>
        <w:t xml:space="preserve"> Belli bir varlığa ve/veya vadeye yoğun yatırım yapılması sonucu fonun bu varlığın ve vadenin içerdiği risklere maruz kalmasıdır.</w:t>
      </w:r>
    </w:p>
    <w:p w14:paraId="2D6ADD8A" w14:textId="77777777" w:rsidR="00AD2630" w:rsidRPr="00AD2630" w:rsidRDefault="00AD2630" w:rsidP="00AD2630">
      <w:pPr>
        <w:pStyle w:val="ListParagraph"/>
        <w:ind w:left="0" w:right="394" w:firstLine="850"/>
        <w:rPr>
          <w:rFonts w:ascii="Times New Roman" w:hAnsi="Times New Roman" w:cs="Times New Roman"/>
          <w:sz w:val="24"/>
          <w:szCs w:val="24"/>
        </w:rPr>
      </w:pPr>
    </w:p>
    <w:p w14:paraId="77C1C461"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sz w:val="24"/>
          <w:szCs w:val="24"/>
        </w:rPr>
      </w:pPr>
      <w:r w:rsidRPr="00AD2630">
        <w:rPr>
          <w:rFonts w:ascii="Times New Roman" w:hAnsi="Times New Roman" w:cs="Times New Roman"/>
          <w:b/>
          <w:sz w:val="24"/>
          <w:szCs w:val="24"/>
        </w:rPr>
        <w:t>Korelasyon Riski:</w:t>
      </w:r>
      <w:r w:rsidRPr="00AD2630">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5F97C7DB" w14:textId="77777777" w:rsidR="00AD2630" w:rsidRPr="00AD2630" w:rsidRDefault="00AD2630" w:rsidP="00AD2630">
      <w:pPr>
        <w:pStyle w:val="ListParagraph"/>
        <w:ind w:left="0" w:right="394" w:firstLine="850"/>
        <w:rPr>
          <w:rFonts w:ascii="Times New Roman" w:hAnsi="Times New Roman" w:cs="Times New Roman"/>
          <w:sz w:val="24"/>
          <w:szCs w:val="24"/>
        </w:rPr>
      </w:pPr>
    </w:p>
    <w:p w14:paraId="5CDAF7E5"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sz w:val="24"/>
          <w:szCs w:val="24"/>
        </w:rPr>
      </w:pPr>
      <w:r w:rsidRPr="00AD2630">
        <w:rPr>
          <w:rFonts w:ascii="Times New Roman" w:hAnsi="Times New Roman" w:cs="Times New Roman"/>
          <w:b/>
          <w:sz w:val="24"/>
          <w:szCs w:val="24"/>
        </w:rPr>
        <w:t>Yasal Risk</w:t>
      </w:r>
      <w:r w:rsidRPr="00AD2630">
        <w:rPr>
          <w:rFonts w:ascii="Times New Roman" w:hAnsi="Times New Roman" w:cs="Times New Roman"/>
          <w:sz w:val="24"/>
          <w:szCs w:val="24"/>
        </w:rPr>
        <w:t>: Fonun katılma paylarının satıldığı dönemden sonra mevzuatta ve düzenleyici otoritelerin düzenlemelerinde meydana gelebilecek değişiklerden olumsuz etkilenmesi riskidir.</w:t>
      </w:r>
    </w:p>
    <w:p w14:paraId="5764F624" w14:textId="77777777" w:rsidR="00AD2630" w:rsidRPr="00AD2630" w:rsidRDefault="00AD2630" w:rsidP="00AD2630">
      <w:pPr>
        <w:pStyle w:val="ListParagraph"/>
        <w:ind w:left="0" w:right="394" w:firstLine="850"/>
        <w:rPr>
          <w:rFonts w:ascii="Times New Roman" w:hAnsi="Times New Roman" w:cs="Times New Roman"/>
          <w:sz w:val="24"/>
          <w:szCs w:val="24"/>
        </w:rPr>
      </w:pPr>
    </w:p>
    <w:p w14:paraId="574396C6"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sz w:val="24"/>
          <w:szCs w:val="24"/>
        </w:rPr>
      </w:pPr>
      <w:r w:rsidRPr="00AD2630">
        <w:rPr>
          <w:rFonts w:ascii="Times New Roman" w:hAnsi="Times New Roman" w:cs="Times New Roman"/>
          <w:b/>
          <w:sz w:val="24"/>
          <w:szCs w:val="24"/>
        </w:rPr>
        <w:t>İhraççı Riski</w:t>
      </w:r>
      <w:r w:rsidRPr="00AD2630">
        <w:rPr>
          <w:rFonts w:ascii="Times New Roman" w:hAnsi="Times New Roman" w:cs="Times New Roman"/>
          <w:sz w:val="24"/>
          <w:szCs w:val="24"/>
        </w:rPr>
        <w:t>: Fon portföyüne alınan varlıkların ihraççısının yükümlülüklerini kısmen veya tamamen zamanında yerine getirememesi nedeniyle doğabilecek zarar ihtimalini ifade eder.</w:t>
      </w:r>
    </w:p>
    <w:p w14:paraId="56FBFFA6" w14:textId="77777777" w:rsidR="00AD2630" w:rsidRPr="00AD2630" w:rsidRDefault="00AD2630" w:rsidP="00AD2630">
      <w:pPr>
        <w:pStyle w:val="ListParagraph"/>
        <w:ind w:left="0" w:right="394" w:firstLine="850"/>
        <w:rPr>
          <w:rFonts w:ascii="Times New Roman" w:hAnsi="Times New Roman" w:cs="Times New Roman"/>
          <w:bCs/>
          <w:sz w:val="24"/>
          <w:szCs w:val="24"/>
        </w:rPr>
      </w:pPr>
    </w:p>
    <w:p w14:paraId="1C8B555B"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b/>
          <w:sz w:val="24"/>
          <w:szCs w:val="24"/>
        </w:rPr>
      </w:pPr>
      <w:r w:rsidRPr="00AD2630">
        <w:rPr>
          <w:rFonts w:ascii="Times New Roman" w:hAnsi="Times New Roman" w:cs="Times New Roman"/>
          <w:b/>
          <w:bCs/>
          <w:sz w:val="24"/>
          <w:szCs w:val="24"/>
        </w:rPr>
        <w:t xml:space="preserve">Teminat Riski: </w:t>
      </w:r>
      <w:r w:rsidRPr="00AD2630">
        <w:rPr>
          <w:rFonts w:ascii="Times New Roman" w:hAnsi="Times New Roman" w:cs="Times New Roman"/>
          <w:bCs/>
          <w:sz w:val="24"/>
          <w:szCs w:val="24"/>
        </w:rPr>
        <w:t>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w:t>
      </w:r>
      <w:r w:rsidRPr="00AD2630">
        <w:rPr>
          <w:rFonts w:ascii="Times New Roman" w:hAnsi="Times New Roman" w:cs="Times New Roman"/>
          <w:b/>
          <w:sz w:val="24"/>
          <w:szCs w:val="24"/>
        </w:rPr>
        <w:t xml:space="preserve">. </w:t>
      </w:r>
    </w:p>
    <w:p w14:paraId="28563391" w14:textId="77777777" w:rsidR="00AD2630" w:rsidRPr="00AD2630" w:rsidRDefault="00AD2630" w:rsidP="00AD2630">
      <w:pPr>
        <w:pStyle w:val="ListParagraph"/>
        <w:tabs>
          <w:tab w:val="left" w:pos="1200"/>
        </w:tabs>
        <w:ind w:left="0" w:right="394" w:firstLine="850"/>
        <w:jc w:val="right"/>
        <w:rPr>
          <w:rFonts w:ascii="Times New Roman" w:hAnsi="Times New Roman" w:cs="Times New Roman"/>
          <w:b/>
          <w:sz w:val="24"/>
          <w:szCs w:val="24"/>
        </w:rPr>
      </w:pPr>
    </w:p>
    <w:p w14:paraId="0E04FB4D"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bCs/>
          <w:sz w:val="24"/>
          <w:szCs w:val="24"/>
        </w:rPr>
      </w:pPr>
      <w:r w:rsidRPr="00AD2630">
        <w:rPr>
          <w:rFonts w:ascii="Times New Roman" w:hAnsi="Times New Roman" w:cs="Times New Roman"/>
          <w:b/>
          <w:bCs/>
          <w:sz w:val="24"/>
          <w:szCs w:val="24"/>
        </w:rPr>
        <w:t xml:space="preserve">Yapılandırılmış Yatırım Araçları Riski: </w:t>
      </w:r>
      <w:r w:rsidRPr="00AD2630">
        <w:rPr>
          <w:rFonts w:ascii="Times New Roman" w:hAnsi="Times New Roman" w:cs="Times New Roman"/>
          <w:bCs/>
          <w:sz w:val="24"/>
          <w:szCs w:val="24"/>
        </w:rPr>
        <w:t xml:space="preserve">Yapılandırılmış yatırım araçlarına yapılan yatırımın beklenmedik ve olağandışı gelişmelerin yaşanması durumlarında vade içinde veya vade sonunda tamamının kaybedilmesi mümkündür. Yapılandırılmış yatırım araçlarının dayanak varlıkları üzerine oluşturulan stratejilerin getirisinin ilgili dönemde negatif olması halinde, yatırımcı vade sonunda hiçbir gelir elde edemeyeceği gibi vade sonunda yatırımlarının değeri başlangıç değerinin altına düşebilir. </w:t>
      </w:r>
    </w:p>
    <w:p w14:paraId="7029603C" w14:textId="77777777" w:rsidR="00AD2630" w:rsidRPr="00AD2630" w:rsidRDefault="00AD2630" w:rsidP="00AD2630">
      <w:pPr>
        <w:pStyle w:val="ListParagraph"/>
        <w:rPr>
          <w:rFonts w:ascii="Times New Roman" w:hAnsi="Times New Roman" w:cs="Times New Roman"/>
          <w:bCs/>
          <w:sz w:val="24"/>
          <w:szCs w:val="24"/>
        </w:rPr>
      </w:pPr>
    </w:p>
    <w:p w14:paraId="7E5DBE87" w14:textId="77777777" w:rsidR="00AD2630" w:rsidRPr="00AD2630" w:rsidRDefault="00AD2630" w:rsidP="00AD2630">
      <w:pPr>
        <w:tabs>
          <w:tab w:val="left" w:pos="1200"/>
        </w:tabs>
        <w:ind w:right="394" w:firstLine="851"/>
        <w:jc w:val="both"/>
        <w:rPr>
          <w:rFonts w:ascii="Times New Roman" w:hAnsi="Times New Roman" w:cs="Times New Roman"/>
          <w:bCs/>
          <w:sz w:val="24"/>
          <w:szCs w:val="24"/>
          <w:lang w:eastAsia="tr-TR"/>
        </w:rPr>
      </w:pPr>
      <w:r w:rsidRPr="00AD2630">
        <w:rPr>
          <w:rFonts w:ascii="Times New Roman" w:hAnsi="Times New Roman" w:cs="Times New Roman"/>
          <w:bCs/>
          <w:sz w:val="24"/>
          <w:szCs w:val="24"/>
          <w:lang w:eastAsia="tr-TR"/>
        </w:rPr>
        <w:lastRenderedPageBreak/>
        <w:t>Yapılandırılmış yatırım araçlarına yatırım yapılması halinde karşı taraf riski de mevcuttur. Yatırımcı, yapılandırılmış yatırım araçlarına ilişkin olarak şirketin kredi riskine maruz kalmakta ve bu risk ölçüsünde bir getiri beklemektedir. Yapılandırılmış yatırım araçlarında yatırımcılar ihraççının ödeme riskini de almaktadır. Ödeme riski ile ihraççı kurumun yapılandırılmış yatırım araçlarından kaynaklanan yükümlülüklerini yerine getirememe riski ifade edilmektedir. Karşı taraf riskini minimum seviyede tutabilmek adına ihraççının ve/veya varsa yatırım aracının yatırım yapılabilir seviyeye denk gelen derecelendirme notuna sahip olması koşulu aranmaktadır. Olağandışı korelasyon değişiklikleri ve olumsuz piyasa koşullarında ortaya çıkabilecek likidite sorunları yapılandırılmış yatırım araçları için önemli riskler oluşturmaktadır. Piyasa yapıcılığı olmadığı durumlarda yapılandırılmış yatırım araçlarının likidite riski üst seviyededir.</w:t>
      </w:r>
    </w:p>
    <w:p w14:paraId="6D632E10" w14:textId="77777777" w:rsidR="00AD2630" w:rsidRPr="00AD2630" w:rsidRDefault="00AD2630" w:rsidP="00AD2630">
      <w:pPr>
        <w:pStyle w:val="ListParagraph"/>
        <w:tabs>
          <w:tab w:val="left" w:pos="1200"/>
        </w:tabs>
        <w:ind w:left="0" w:right="394" w:firstLine="850"/>
        <w:jc w:val="right"/>
        <w:rPr>
          <w:rFonts w:ascii="Times New Roman" w:hAnsi="Times New Roman" w:cs="Times New Roman"/>
          <w:bCs/>
          <w:sz w:val="24"/>
          <w:szCs w:val="24"/>
        </w:rPr>
      </w:pPr>
    </w:p>
    <w:p w14:paraId="10EB00BE"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bCs/>
          <w:sz w:val="24"/>
          <w:szCs w:val="24"/>
        </w:rPr>
      </w:pPr>
      <w:r w:rsidRPr="00AD2630">
        <w:rPr>
          <w:rFonts w:ascii="Times New Roman" w:hAnsi="Times New Roman" w:cs="Times New Roman"/>
          <w:b/>
          <w:sz w:val="24"/>
          <w:szCs w:val="24"/>
        </w:rPr>
        <w:t>Açığa Satış Riski:</w:t>
      </w:r>
      <w:r w:rsidRPr="00AD2630">
        <w:rPr>
          <w:rFonts w:ascii="Times New Roman" w:hAnsi="Times New Roman" w:cs="Times New Roman"/>
          <w:bCs/>
          <w:sz w:val="24"/>
          <w:szCs w:val="24"/>
        </w:rPr>
        <w:t xml:space="preserve"> Fon portföyü adına açığa satışı yapılan finansal araçların piyasa likiditesinin daralması sebebiyle geri alımı yapılarak iade imkanlarının azalması durumunu ifade eder.</w:t>
      </w:r>
    </w:p>
    <w:p w14:paraId="22884647" w14:textId="77777777" w:rsidR="00AD2630" w:rsidRPr="00AD2630" w:rsidRDefault="00AD2630" w:rsidP="00AD2630">
      <w:pPr>
        <w:pStyle w:val="ListParagraph"/>
        <w:ind w:left="0" w:right="394" w:firstLine="850"/>
        <w:rPr>
          <w:rFonts w:ascii="Times New Roman" w:hAnsi="Times New Roman" w:cs="Times New Roman"/>
          <w:bCs/>
          <w:sz w:val="24"/>
          <w:szCs w:val="24"/>
        </w:rPr>
      </w:pPr>
    </w:p>
    <w:p w14:paraId="60FCCFAF"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bCs/>
          <w:sz w:val="24"/>
          <w:szCs w:val="24"/>
        </w:rPr>
      </w:pPr>
      <w:r w:rsidRPr="00AD2630">
        <w:rPr>
          <w:rFonts w:ascii="Times New Roman" w:hAnsi="Times New Roman" w:cs="Times New Roman"/>
          <w:b/>
          <w:sz w:val="24"/>
          <w:szCs w:val="24"/>
        </w:rPr>
        <w:t>Baz Riski:</w:t>
      </w:r>
      <w:r w:rsidRPr="00AD2630">
        <w:rPr>
          <w:rFonts w:ascii="Times New Roman" w:hAnsi="Times New Roman" w:cs="Times New Roman"/>
          <w:bCs/>
          <w:sz w:val="24"/>
          <w:szCs w:val="24"/>
        </w:rPr>
        <w:t xml:space="preserve"> Vadeli işlem kontratlarının cari değeri ile konu olan ilgili finansal enstrüman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olabilmektedir. Dolayısı ile burada Baz Değer’in sözleşme vadesi boyunca göstereceği değişim riskini ifade etmektedir.</w:t>
      </w:r>
    </w:p>
    <w:p w14:paraId="5DB847C3" w14:textId="77777777" w:rsidR="00AD2630" w:rsidRPr="00AD2630" w:rsidRDefault="00AD2630" w:rsidP="00AD2630">
      <w:pPr>
        <w:pStyle w:val="ListParagraph"/>
        <w:ind w:left="0" w:right="394" w:firstLine="850"/>
        <w:rPr>
          <w:rFonts w:ascii="Times New Roman" w:hAnsi="Times New Roman" w:cs="Times New Roman"/>
          <w:bCs/>
          <w:sz w:val="24"/>
          <w:szCs w:val="24"/>
        </w:rPr>
      </w:pPr>
    </w:p>
    <w:p w14:paraId="01A5DFDB" w14:textId="77777777" w:rsidR="00AD2630" w:rsidRPr="00AD2630" w:rsidRDefault="00AD2630" w:rsidP="00AD2630">
      <w:pPr>
        <w:pStyle w:val="ListParagraph"/>
        <w:widowControl w:val="0"/>
        <w:numPr>
          <w:ilvl w:val="0"/>
          <w:numId w:val="10"/>
        </w:numPr>
        <w:tabs>
          <w:tab w:val="left" w:pos="1200"/>
        </w:tabs>
        <w:autoSpaceDE w:val="0"/>
        <w:autoSpaceDN w:val="0"/>
        <w:spacing w:after="0" w:line="240" w:lineRule="auto"/>
        <w:ind w:left="0" w:right="394" w:firstLine="850"/>
        <w:contextualSpacing w:val="0"/>
        <w:jc w:val="both"/>
        <w:rPr>
          <w:rFonts w:ascii="Times New Roman" w:hAnsi="Times New Roman" w:cs="Times New Roman"/>
          <w:bCs/>
          <w:sz w:val="24"/>
          <w:szCs w:val="24"/>
        </w:rPr>
      </w:pPr>
      <w:r w:rsidRPr="00AD2630">
        <w:rPr>
          <w:rFonts w:ascii="Times New Roman" w:hAnsi="Times New Roman" w:cs="Times New Roman"/>
          <w:b/>
          <w:sz w:val="24"/>
          <w:szCs w:val="24"/>
        </w:rPr>
        <w:t>Opsiyon Duyarlılık Riskleri:</w:t>
      </w:r>
      <w:r w:rsidRPr="00AD2630">
        <w:rPr>
          <w:rFonts w:ascii="Times New Roman" w:hAnsi="Times New Roman" w:cs="Times New Roman"/>
          <w:bCs/>
          <w:sz w:val="24"/>
          <w:szCs w:val="24"/>
        </w:rPr>
        <w:t xml:space="preserve"> Opsiyon portföylerinde risk duyarlılıkları arasında, işleme konu olan spot finansal ürün fiyat değişiminde çok farklı miktarda risk duyarlılık değişimleri yaşanabilmektedir. Delta; opsiyon yazıldığı ilgili finansal varlığın fiyatındaki bir birim değişiminin opsiyon priminde oluşturduğu değişimi göstermektedir. Gamma; opsiyonun ilgili olduğu varlığın fiyatındaki değişimin opsiyonun deltasında meydana getirdiği değişimi ölçmektedir. Vega; opsiyonun dayanak varlığının fiyat dalgalanmasındaki birim değişimin opsiyon priminde oluşturduğu değişimdir. Theta; risk ölçümlerinde büyük önem taşıyan zaman faktörünü ifade eden gösterge olup, opsiyon fiyatının vadeye göre değişiminin ölçüsüdür. Rho ise faiz oranlarındaki yüzdesel değişimin opsiyonun fiyatında oluşturduğu değişimin ölçüsüdür.</w:t>
      </w:r>
    </w:p>
    <w:p w14:paraId="7070D9CD" w14:textId="77777777" w:rsidR="00BA2F1E" w:rsidRPr="00AD2630" w:rsidRDefault="00BA2F1E" w:rsidP="00BA2F1E">
      <w:pPr>
        <w:pStyle w:val="ListParagraph"/>
        <w:rPr>
          <w:rFonts w:ascii="Times New Roman" w:hAnsi="Times New Roman" w:cs="Times New Roman"/>
          <w:sz w:val="24"/>
          <w:szCs w:val="24"/>
        </w:rPr>
      </w:pPr>
    </w:p>
    <w:sectPr w:rsidR="00BA2F1E" w:rsidRPr="00AD2630" w:rsidSect="008A60CB">
      <w:head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304A3" w14:textId="77777777" w:rsidR="00AB0614" w:rsidRDefault="00AB0614" w:rsidP="00A05B08">
      <w:pPr>
        <w:spacing w:after="0" w:line="240" w:lineRule="auto"/>
      </w:pPr>
      <w:r>
        <w:separator/>
      </w:r>
    </w:p>
  </w:endnote>
  <w:endnote w:type="continuationSeparator" w:id="0">
    <w:p w14:paraId="38965A77" w14:textId="77777777" w:rsidR="00AB0614" w:rsidRDefault="00AB0614"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7A279" w14:textId="77777777" w:rsidR="00AB0614" w:rsidRDefault="00AB0614" w:rsidP="00A05B08">
      <w:pPr>
        <w:spacing w:after="0" w:line="240" w:lineRule="auto"/>
      </w:pPr>
      <w:r>
        <w:separator/>
      </w:r>
    </w:p>
  </w:footnote>
  <w:footnote w:type="continuationSeparator" w:id="0">
    <w:p w14:paraId="109FCA12" w14:textId="77777777" w:rsidR="00AB0614" w:rsidRDefault="00AB0614" w:rsidP="00A05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AC623" w14:textId="77777777" w:rsidR="00AD2630" w:rsidRPr="003C11CE" w:rsidRDefault="00AD2630" w:rsidP="00AD2630">
    <w:pPr>
      <w:pStyle w:val="Heading1"/>
      <w:ind w:left="0" w:right="261"/>
    </w:pPr>
    <w:r w:rsidRPr="00DA6D75">
      <w:rPr>
        <w:lang w:eastAsia="tr-TR"/>
      </w:rPr>
      <w:t xml:space="preserve">HEDEF PORTFÖY KISA VADELİ </w:t>
    </w:r>
    <w:r>
      <w:rPr>
        <w:lang w:eastAsia="tr-TR"/>
      </w:rPr>
      <w:t>SERBEST</w:t>
    </w:r>
    <w:r w:rsidRPr="00DA6D75">
      <w:rPr>
        <w:lang w:eastAsia="tr-TR"/>
      </w:rPr>
      <w:t xml:space="preserve"> (TL) FON</w:t>
    </w:r>
  </w:p>
  <w:p w14:paraId="4929797E" w14:textId="38CE088C" w:rsidR="00A05B08" w:rsidRPr="0041052D" w:rsidRDefault="009C7259">
    <w:pPr>
      <w:pStyle w:val="Header"/>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Header"/>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32984" w14:textId="177F0543" w:rsidR="009D1B35" w:rsidRDefault="009D1B35" w:rsidP="009D1B35">
    <w:pPr>
      <w:pStyle w:val="Header"/>
      <w:tabs>
        <w:tab w:val="clear" w:pos="4536"/>
        <w:tab w:val="left" w:pos="8560"/>
      </w:tabs>
    </w:pPr>
    <w:r>
      <w:rPr>
        <w:noProof/>
        <w:lang w:eastAsia="tr-TR"/>
      </w:rPr>
      <mc:AlternateContent>
        <mc:Choice Requires="wps">
          <w:drawing>
            <wp:anchor distT="45720" distB="45720" distL="114300" distR="114300" simplePos="0" relativeHeight="251659264" behindDoc="0" locked="0" layoutInCell="1" allowOverlap="1" wp14:anchorId="661735DC" wp14:editId="1F754894">
              <wp:simplePos x="0" y="0"/>
              <wp:positionH relativeFrom="column">
                <wp:posOffset>3573145</wp:posOffset>
              </wp:positionH>
              <wp:positionV relativeFrom="paragraph">
                <wp:posOffset>-214630</wp:posOffset>
              </wp:positionV>
              <wp:extent cx="2235200" cy="10858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8BE11" w14:textId="77777777" w:rsidR="009D1B35" w:rsidRDefault="009D1B35" w:rsidP="009D1B35">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HSY Danışmanlık ve Bağımsız Denetim A.Ş.</w:t>
                          </w:r>
                        </w:p>
                        <w:p w14:paraId="78D062F2" w14:textId="77777777" w:rsidR="009D1B35" w:rsidRDefault="009D1B35" w:rsidP="009D1B35">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Cumhuriyet Mah. Yeniyol Sok. Bomonti Business Center</w:t>
                          </w:r>
                        </w:p>
                        <w:p w14:paraId="6D70D6C5" w14:textId="77777777" w:rsidR="009D1B35" w:rsidRDefault="009D1B35" w:rsidP="009D1B35">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No:8 K:4 D:22 Bomonti- Şişli – İstanbul</w:t>
                          </w:r>
                        </w:p>
                        <w:p w14:paraId="1CEC4352" w14:textId="77777777" w:rsidR="009D1B35" w:rsidRDefault="009D1B35" w:rsidP="009D1B35">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T: +90 212 217 02 30</w:t>
                          </w:r>
                        </w:p>
                        <w:p w14:paraId="2EDF6F17" w14:textId="77777777" w:rsidR="009D1B35" w:rsidRDefault="009D1B35" w:rsidP="009D1B35">
                          <w:pPr>
                            <w:spacing w:after="0" w:line="180" w:lineRule="exact"/>
                            <w:ind w:left="-108"/>
                            <w:jc w:val="right"/>
                            <w:rPr>
                              <w:rFonts w:ascii="Arial" w:hAnsi="Arial" w:cs="Arial"/>
                              <w:color w:val="5B9BD5" w:themeColor="accent1"/>
                              <w:sz w:val="16"/>
                              <w:szCs w:val="15"/>
                            </w:rPr>
                          </w:pPr>
                          <w:r>
                            <w:rPr>
                              <w:rFonts w:ascii="Arial" w:hAnsi="Arial" w:cs="Arial"/>
                              <w:color w:val="5B9BD5" w:themeColor="accent1"/>
                              <w:sz w:val="16"/>
                              <w:szCs w:val="16"/>
                            </w:rPr>
                            <w:t>F: +90 212 217 02 29</w:t>
                          </w:r>
                          <w:r>
                            <w:rPr>
                              <w:rFonts w:ascii="Arial" w:hAnsi="Arial" w:cs="Arial"/>
                              <w:color w:val="5B9BD5" w:themeColor="accent1"/>
                              <w:sz w:val="16"/>
                              <w:szCs w:val="15"/>
                            </w:rPr>
                            <w:t xml:space="preserve">  </w:t>
                          </w:r>
                        </w:p>
                        <w:p w14:paraId="4CB59813" w14:textId="77777777" w:rsidR="009D1B35" w:rsidRDefault="009D1B35" w:rsidP="009D1B35">
                          <w:pPr>
                            <w:jc w:val="right"/>
                          </w:pPr>
                          <w:r>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1.3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WN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" filled="f" stroked="f">
              <v:textbox>
                <w:txbxContent>
                  <w:p w14:paraId="21E8BE11" w14:textId="77777777" w:rsidR="009D1B35" w:rsidRDefault="009D1B35" w:rsidP="009D1B35">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HSY Danışmanlık ve Bağımsız Denetim A.Ş.</w:t>
                    </w:r>
                  </w:p>
                  <w:p w14:paraId="78D062F2" w14:textId="77777777" w:rsidR="009D1B35" w:rsidRDefault="009D1B35" w:rsidP="009D1B35">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Cumhuriyet Mah. Yeniyol Sok. Bomonti Business Center</w:t>
                    </w:r>
                  </w:p>
                  <w:p w14:paraId="6D70D6C5" w14:textId="77777777" w:rsidR="009D1B35" w:rsidRDefault="009D1B35" w:rsidP="009D1B35">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No:8 K:4 D:22 Bomonti- Şişli – İstanbul</w:t>
                    </w:r>
                  </w:p>
                  <w:p w14:paraId="1CEC4352" w14:textId="77777777" w:rsidR="009D1B35" w:rsidRDefault="009D1B35" w:rsidP="009D1B35">
                    <w:pPr>
                      <w:spacing w:after="0" w:line="180" w:lineRule="exact"/>
                      <w:ind w:left="-108"/>
                      <w:jc w:val="right"/>
                      <w:rPr>
                        <w:rFonts w:ascii="Arial" w:hAnsi="Arial" w:cs="Arial"/>
                        <w:color w:val="5B9BD5" w:themeColor="accent1"/>
                        <w:sz w:val="16"/>
                        <w:szCs w:val="16"/>
                      </w:rPr>
                    </w:pPr>
                    <w:r>
                      <w:rPr>
                        <w:rFonts w:ascii="Arial" w:hAnsi="Arial" w:cs="Arial"/>
                        <w:color w:val="5B9BD5" w:themeColor="accent1"/>
                        <w:sz w:val="16"/>
                        <w:szCs w:val="16"/>
                      </w:rPr>
                      <w:t>T: +90 212 217 02 30</w:t>
                    </w:r>
                  </w:p>
                  <w:p w14:paraId="2EDF6F17" w14:textId="77777777" w:rsidR="009D1B35" w:rsidRDefault="009D1B35" w:rsidP="009D1B35">
                    <w:pPr>
                      <w:spacing w:after="0" w:line="180" w:lineRule="exact"/>
                      <w:ind w:left="-108"/>
                      <w:jc w:val="right"/>
                      <w:rPr>
                        <w:rFonts w:ascii="Arial" w:hAnsi="Arial" w:cs="Arial"/>
                        <w:color w:val="5B9BD5" w:themeColor="accent1"/>
                        <w:sz w:val="16"/>
                        <w:szCs w:val="15"/>
                      </w:rPr>
                    </w:pPr>
                    <w:r>
                      <w:rPr>
                        <w:rFonts w:ascii="Arial" w:hAnsi="Arial" w:cs="Arial"/>
                        <w:color w:val="5B9BD5" w:themeColor="accent1"/>
                        <w:sz w:val="16"/>
                        <w:szCs w:val="16"/>
                      </w:rPr>
                      <w:t>F: +90 212 217 02 29</w:t>
                    </w:r>
                    <w:r>
                      <w:rPr>
                        <w:rFonts w:ascii="Arial" w:hAnsi="Arial" w:cs="Arial"/>
                        <w:color w:val="5B9BD5" w:themeColor="accent1"/>
                        <w:sz w:val="16"/>
                        <w:szCs w:val="15"/>
                      </w:rPr>
                      <w:t xml:space="preserve">  </w:t>
                    </w:r>
                  </w:p>
                  <w:p w14:paraId="4CB59813" w14:textId="77777777" w:rsidR="009D1B35" w:rsidRDefault="009D1B35" w:rsidP="009D1B35">
                    <w:pPr>
                      <w:jc w:val="right"/>
                    </w:pPr>
                    <w:r>
                      <w:rPr>
                        <w:rFonts w:ascii="Arial" w:hAnsi="Arial" w:cs="Arial"/>
                        <w:color w:val="5B9BD5" w:themeColor="accent1"/>
                        <w:sz w:val="16"/>
                        <w:szCs w:val="15"/>
                      </w:rPr>
                      <w:t>www.crowe.com.tr</w:t>
                    </w:r>
                  </w:p>
                </w:txbxContent>
              </v:textbox>
              <w10:wrap type="square"/>
            </v:shape>
          </w:pict>
        </mc:Fallback>
      </mc:AlternateContent>
    </w:r>
    <w:r>
      <w:rPr>
        <w:noProof/>
        <w:lang w:eastAsia="tr-TR"/>
      </w:rPr>
      <w:drawing>
        <wp:inline distT="0" distB="0" distL="0" distR="0" wp14:anchorId="237A324F" wp14:editId="01B37DC2">
          <wp:extent cx="12954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r>
      <w:tab/>
    </w:r>
  </w:p>
  <w:p w14:paraId="25880976" w14:textId="77777777" w:rsidR="009D1B35" w:rsidRDefault="009D1B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411EB" w14:textId="77777777" w:rsidR="009D1B35" w:rsidRPr="003C11CE" w:rsidRDefault="009D1B35" w:rsidP="00AD2630">
    <w:pPr>
      <w:pStyle w:val="Heading1"/>
      <w:ind w:left="0" w:right="261"/>
    </w:pPr>
    <w:r w:rsidRPr="00DA6D75">
      <w:rPr>
        <w:lang w:eastAsia="tr-TR"/>
      </w:rPr>
      <w:t xml:space="preserve">HEDEF PORTFÖY KISA VADELİ </w:t>
    </w:r>
    <w:r>
      <w:rPr>
        <w:lang w:eastAsia="tr-TR"/>
      </w:rPr>
      <w:t>SERBEST</w:t>
    </w:r>
    <w:r w:rsidRPr="00DA6D75">
      <w:rPr>
        <w:lang w:eastAsia="tr-TR"/>
      </w:rPr>
      <w:t xml:space="preserve"> (TL) FON</w:t>
    </w:r>
  </w:p>
  <w:p w14:paraId="27A0336C" w14:textId="77777777" w:rsidR="009D1B35" w:rsidRPr="0041052D" w:rsidRDefault="009D1B35">
    <w:pPr>
      <w:pStyle w:val="Header"/>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Pr="0041052D">
      <w:rPr>
        <w:rFonts w:ascii="Times New Roman" w:hAnsi="Times New Roman" w:cs="Times New Roman"/>
        <w:b/>
        <w:color w:val="1F3864" w:themeColor="accent5" w:themeShade="80"/>
        <w:sz w:val="24"/>
        <w:szCs w:val="24"/>
      </w:rPr>
      <w:t xml:space="preserve"> RAPORU</w:t>
    </w:r>
  </w:p>
  <w:p w14:paraId="47E181E9" w14:textId="77777777" w:rsidR="009D1B35" w:rsidRDefault="009D1B35">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59E7" w14:textId="77777777" w:rsidR="009D1B35" w:rsidRDefault="009D1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1C1A96"/>
    <w:multiLevelType w:val="hybridMultilevel"/>
    <w:tmpl w:val="1F124D38"/>
    <w:lvl w:ilvl="0" w:tplc="ADFE5422">
      <w:start w:val="1"/>
      <w:numFmt w:val="decimal"/>
      <w:lvlText w:val="%1)"/>
      <w:lvlJc w:val="left"/>
      <w:pPr>
        <w:ind w:left="220" w:hanging="274"/>
        <w:jc w:val="right"/>
      </w:pPr>
      <w:rPr>
        <w:rFonts w:ascii="Times New Roman" w:eastAsia="Times New Roman" w:hAnsi="Times New Roman" w:cs="Times New Roman" w:hint="default"/>
        <w:b/>
        <w:bCs/>
        <w:w w:val="97"/>
        <w:sz w:val="24"/>
        <w:szCs w:val="24"/>
        <w:lang w:val="tr-TR" w:eastAsia="en-US" w:bidi="ar-SA"/>
      </w:rPr>
    </w:lvl>
    <w:lvl w:ilvl="1" w:tplc="284A1140">
      <w:numFmt w:val="bullet"/>
      <w:lvlText w:val="•"/>
      <w:lvlJc w:val="left"/>
      <w:pPr>
        <w:ind w:left="1187" w:hanging="274"/>
      </w:pPr>
      <w:rPr>
        <w:rFonts w:hint="default"/>
        <w:lang w:val="tr-TR" w:eastAsia="en-US" w:bidi="ar-SA"/>
      </w:rPr>
    </w:lvl>
    <w:lvl w:ilvl="2" w:tplc="03AE8C6E">
      <w:numFmt w:val="bullet"/>
      <w:lvlText w:val="•"/>
      <w:lvlJc w:val="left"/>
      <w:pPr>
        <w:ind w:left="2154" w:hanging="274"/>
      </w:pPr>
      <w:rPr>
        <w:rFonts w:hint="default"/>
        <w:lang w:val="tr-TR" w:eastAsia="en-US" w:bidi="ar-SA"/>
      </w:rPr>
    </w:lvl>
    <w:lvl w:ilvl="3" w:tplc="D3A29EDE">
      <w:numFmt w:val="bullet"/>
      <w:lvlText w:val="•"/>
      <w:lvlJc w:val="left"/>
      <w:pPr>
        <w:ind w:left="3121" w:hanging="274"/>
      </w:pPr>
      <w:rPr>
        <w:rFonts w:hint="default"/>
        <w:lang w:val="tr-TR" w:eastAsia="en-US" w:bidi="ar-SA"/>
      </w:rPr>
    </w:lvl>
    <w:lvl w:ilvl="4" w:tplc="1FFEC170">
      <w:numFmt w:val="bullet"/>
      <w:lvlText w:val="•"/>
      <w:lvlJc w:val="left"/>
      <w:pPr>
        <w:ind w:left="4088" w:hanging="274"/>
      </w:pPr>
      <w:rPr>
        <w:rFonts w:hint="default"/>
        <w:lang w:val="tr-TR" w:eastAsia="en-US" w:bidi="ar-SA"/>
      </w:rPr>
    </w:lvl>
    <w:lvl w:ilvl="5" w:tplc="75829078">
      <w:numFmt w:val="bullet"/>
      <w:lvlText w:val="•"/>
      <w:lvlJc w:val="left"/>
      <w:pPr>
        <w:ind w:left="5055" w:hanging="274"/>
      </w:pPr>
      <w:rPr>
        <w:rFonts w:hint="default"/>
        <w:lang w:val="tr-TR" w:eastAsia="en-US" w:bidi="ar-SA"/>
      </w:rPr>
    </w:lvl>
    <w:lvl w:ilvl="6" w:tplc="B4B2AE18">
      <w:numFmt w:val="bullet"/>
      <w:lvlText w:val="•"/>
      <w:lvlJc w:val="left"/>
      <w:pPr>
        <w:ind w:left="6022" w:hanging="274"/>
      </w:pPr>
      <w:rPr>
        <w:rFonts w:hint="default"/>
        <w:lang w:val="tr-TR" w:eastAsia="en-US" w:bidi="ar-SA"/>
      </w:rPr>
    </w:lvl>
    <w:lvl w:ilvl="7" w:tplc="640489C2">
      <w:numFmt w:val="bullet"/>
      <w:lvlText w:val="•"/>
      <w:lvlJc w:val="left"/>
      <w:pPr>
        <w:ind w:left="6989" w:hanging="274"/>
      </w:pPr>
      <w:rPr>
        <w:rFonts w:hint="default"/>
        <w:lang w:val="tr-TR" w:eastAsia="en-US" w:bidi="ar-SA"/>
      </w:rPr>
    </w:lvl>
    <w:lvl w:ilvl="8" w:tplc="5EF43496">
      <w:numFmt w:val="bullet"/>
      <w:lvlText w:val="•"/>
      <w:lvlJc w:val="left"/>
      <w:pPr>
        <w:ind w:left="7956" w:hanging="274"/>
      </w:pPr>
      <w:rPr>
        <w:rFonts w:hint="default"/>
        <w:lang w:val="tr-TR" w:eastAsia="en-US" w:bidi="ar-SA"/>
      </w:rPr>
    </w:lvl>
  </w:abstractNum>
  <w:abstractNum w:abstractNumId="2">
    <w:nsid w:val="21945CAC"/>
    <w:multiLevelType w:val="hybridMultilevel"/>
    <w:tmpl w:val="FFFFFFFF"/>
    <w:lvl w:ilvl="0" w:tplc="28860EA8">
      <w:start w:val="1"/>
      <w:numFmt w:val="lowerLetter"/>
      <w:lvlText w:val="%1-"/>
      <w:lvlJc w:val="left"/>
      <w:pPr>
        <w:ind w:left="1080" w:hanging="360"/>
      </w:pPr>
      <w:rPr>
        <w:rFonts w:cs="Times New Roman" w:hint="default"/>
        <w:b/>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3">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4">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0B84948"/>
    <w:multiLevelType w:val="hybridMultilevel"/>
    <w:tmpl w:val="0D7C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7574CA"/>
    <w:multiLevelType w:val="hybridMultilevel"/>
    <w:tmpl w:val="DDC0A4CE"/>
    <w:lvl w:ilvl="0" w:tplc="E9340E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abstractNumId w:val="4"/>
  </w:num>
  <w:num w:numId="2">
    <w:abstractNumId w:val="0"/>
  </w:num>
  <w:num w:numId="3">
    <w:abstractNumId w:val="8"/>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5"/>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D6"/>
    <w:rsid w:val="00016B29"/>
    <w:rsid w:val="00030329"/>
    <w:rsid w:val="00032E31"/>
    <w:rsid w:val="000333B4"/>
    <w:rsid w:val="00044114"/>
    <w:rsid w:val="000669A7"/>
    <w:rsid w:val="000752DE"/>
    <w:rsid w:val="000A1D61"/>
    <w:rsid w:val="000B2046"/>
    <w:rsid w:val="000B788F"/>
    <w:rsid w:val="000E1417"/>
    <w:rsid w:val="000F7A0F"/>
    <w:rsid w:val="000F7B1B"/>
    <w:rsid w:val="00103F61"/>
    <w:rsid w:val="00106889"/>
    <w:rsid w:val="00137894"/>
    <w:rsid w:val="00154745"/>
    <w:rsid w:val="001678C4"/>
    <w:rsid w:val="001A238C"/>
    <w:rsid w:val="001B1348"/>
    <w:rsid w:val="001B1C6E"/>
    <w:rsid w:val="001C4968"/>
    <w:rsid w:val="001D0913"/>
    <w:rsid w:val="001E0E01"/>
    <w:rsid w:val="00223B91"/>
    <w:rsid w:val="0023421B"/>
    <w:rsid w:val="00236423"/>
    <w:rsid w:val="00237C1F"/>
    <w:rsid w:val="00242370"/>
    <w:rsid w:val="00275FAF"/>
    <w:rsid w:val="00294CF5"/>
    <w:rsid w:val="00295675"/>
    <w:rsid w:val="002B133F"/>
    <w:rsid w:val="002B26D1"/>
    <w:rsid w:val="002D47A7"/>
    <w:rsid w:val="002D6C30"/>
    <w:rsid w:val="002E0202"/>
    <w:rsid w:val="002E2517"/>
    <w:rsid w:val="002E3773"/>
    <w:rsid w:val="002E685D"/>
    <w:rsid w:val="002F33C2"/>
    <w:rsid w:val="002F504A"/>
    <w:rsid w:val="003350DA"/>
    <w:rsid w:val="00345E9E"/>
    <w:rsid w:val="00351EF4"/>
    <w:rsid w:val="00353A6C"/>
    <w:rsid w:val="00373F9B"/>
    <w:rsid w:val="00392B73"/>
    <w:rsid w:val="00395760"/>
    <w:rsid w:val="003B245E"/>
    <w:rsid w:val="003C24E1"/>
    <w:rsid w:val="003D35A3"/>
    <w:rsid w:val="003D4A1E"/>
    <w:rsid w:val="003D66F7"/>
    <w:rsid w:val="003F676E"/>
    <w:rsid w:val="0041052D"/>
    <w:rsid w:val="00416252"/>
    <w:rsid w:val="00446BBE"/>
    <w:rsid w:val="00495B04"/>
    <w:rsid w:val="004A5550"/>
    <w:rsid w:val="004C5257"/>
    <w:rsid w:val="004E72E0"/>
    <w:rsid w:val="00585E3F"/>
    <w:rsid w:val="00587C61"/>
    <w:rsid w:val="005941B4"/>
    <w:rsid w:val="00596C79"/>
    <w:rsid w:val="005A19EC"/>
    <w:rsid w:val="005B4267"/>
    <w:rsid w:val="005C70A1"/>
    <w:rsid w:val="005D0231"/>
    <w:rsid w:val="005D2329"/>
    <w:rsid w:val="005D3818"/>
    <w:rsid w:val="005F5413"/>
    <w:rsid w:val="0062182C"/>
    <w:rsid w:val="00621CF3"/>
    <w:rsid w:val="00623AF0"/>
    <w:rsid w:val="0063220A"/>
    <w:rsid w:val="006554C1"/>
    <w:rsid w:val="006858ED"/>
    <w:rsid w:val="0068663D"/>
    <w:rsid w:val="006A0773"/>
    <w:rsid w:val="006B4918"/>
    <w:rsid w:val="006C07D6"/>
    <w:rsid w:val="006D1809"/>
    <w:rsid w:val="006F1320"/>
    <w:rsid w:val="00713BC3"/>
    <w:rsid w:val="00732B90"/>
    <w:rsid w:val="007403AA"/>
    <w:rsid w:val="0075599E"/>
    <w:rsid w:val="007655DB"/>
    <w:rsid w:val="007A0262"/>
    <w:rsid w:val="007B4462"/>
    <w:rsid w:val="007B4E2D"/>
    <w:rsid w:val="007C73DD"/>
    <w:rsid w:val="007D2136"/>
    <w:rsid w:val="007D75CD"/>
    <w:rsid w:val="0080627C"/>
    <w:rsid w:val="00817594"/>
    <w:rsid w:val="008260F4"/>
    <w:rsid w:val="00892D7F"/>
    <w:rsid w:val="00897BBB"/>
    <w:rsid w:val="008A1629"/>
    <w:rsid w:val="008A2B04"/>
    <w:rsid w:val="008A345A"/>
    <w:rsid w:val="008A4183"/>
    <w:rsid w:val="008A4474"/>
    <w:rsid w:val="008A60CB"/>
    <w:rsid w:val="008C136E"/>
    <w:rsid w:val="00901163"/>
    <w:rsid w:val="00942BAD"/>
    <w:rsid w:val="00950E6A"/>
    <w:rsid w:val="00973E09"/>
    <w:rsid w:val="0097465C"/>
    <w:rsid w:val="00976460"/>
    <w:rsid w:val="009973BA"/>
    <w:rsid w:val="009A6126"/>
    <w:rsid w:val="009C7259"/>
    <w:rsid w:val="009D1B35"/>
    <w:rsid w:val="00A05B08"/>
    <w:rsid w:val="00A17399"/>
    <w:rsid w:val="00A23DDD"/>
    <w:rsid w:val="00A263C6"/>
    <w:rsid w:val="00A2654E"/>
    <w:rsid w:val="00A34E82"/>
    <w:rsid w:val="00A37098"/>
    <w:rsid w:val="00A50942"/>
    <w:rsid w:val="00A6163A"/>
    <w:rsid w:val="00A667D5"/>
    <w:rsid w:val="00A67A8A"/>
    <w:rsid w:val="00A779B1"/>
    <w:rsid w:val="00A82B19"/>
    <w:rsid w:val="00AA17B4"/>
    <w:rsid w:val="00AB0614"/>
    <w:rsid w:val="00AD2630"/>
    <w:rsid w:val="00AD4058"/>
    <w:rsid w:val="00AF3A9D"/>
    <w:rsid w:val="00B0426D"/>
    <w:rsid w:val="00B212E2"/>
    <w:rsid w:val="00B31E30"/>
    <w:rsid w:val="00B96FA7"/>
    <w:rsid w:val="00B975CA"/>
    <w:rsid w:val="00BA118B"/>
    <w:rsid w:val="00BA2C65"/>
    <w:rsid w:val="00BA2F1E"/>
    <w:rsid w:val="00BC0AF1"/>
    <w:rsid w:val="00BC4211"/>
    <w:rsid w:val="00BC47B4"/>
    <w:rsid w:val="00BE37F7"/>
    <w:rsid w:val="00BF2B84"/>
    <w:rsid w:val="00BF54DE"/>
    <w:rsid w:val="00C05148"/>
    <w:rsid w:val="00C158F7"/>
    <w:rsid w:val="00C16969"/>
    <w:rsid w:val="00C655C4"/>
    <w:rsid w:val="00C75376"/>
    <w:rsid w:val="00CC0D71"/>
    <w:rsid w:val="00CC7520"/>
    <w:rsid w:val="00CD4C99"/>
    <w:rsid w:val="00CD7184"/>
    <w:rsid w:val="00CE6762"/>
    <w:rsid w:val="00CF029B"/>
    <w:rsid w:val="00D01667"/>
    <w:rsid w:val="00D06446"/>
    <w:rsid w:val="00D302F4"/>
    <w:rsid w:val="00D34E03"/>
    <w:rsid w:val="00D36275"/>
    <w:rsid w:val="00D42D4B"/>
    <w:rsid w:val="00D52CC0"/>
    <w:rsid w:val="00D7161B"/>
    <w:rsid w:val="00D81B9A"/>
    <w:rsid w:val="00D9542A"/>
    <w:rsid w:val="00DD03E8"/>
    <w:rsid w:val="00DE184F"/>
    <w:rsid w:val="00DF5404"/>
    <w:rsid w:val="00E12E3B"/>
    <w:rsid w:val="00E27CCD"/>
    <w:rsid w:val="00E50129"/>
    <w:rsid w:val="00E7527E"/>
    <w:rsid w:val="00E815C1"/>
    <w:rsid w:val="00EA6C4D"/>
    <w:rsid w:val="00EB4E0D"/>
    <w:rsid w:val="00EC15BE"/>
    <w:rsid w:val="00EC6B0C"/>
    <w:rsid w:val="00ED76F3"/>
    <w:rsid w:val="00EE1C8B"/>
    <w:rsid w:val="00EF2040"/>
    <w:rsid w:val="00EF700D"/>
    <w:rsid w:val="00F42315"/>
    <w:rsid w:val="00F5703C"/>
    <w:rsid w:val="00F70D62"/>
    <w:rsid w:val="00F76916"/>
    <w:rsid w:val="00F76DF3"/>
    <w:rsid w:val="00F8499F"/>
    <w:rsid w:val="00F94051"/>
    <w:rsid w:val="00FC0178"/>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1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2630"/>
    <w:pPr>
      <w:widowControl w:val="0"/>
      <w:autoSpaceDE w:val="0"/>
      <w:autoSpaceDN w:val="0"/>
      <w:spacing w:after="0" w:line="240" w:lineRule="auto"/>
      <w:ind w:left="2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eGrid">
    <w:name w:val="Table Grid"/>
    <w:basedOn w:val="TableNormal"/>
    <w:uiPriority w:val="39"/>
    <w:rsid w:val="00A05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5B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5B08"/>
  </w:style>
  <w:style w:type="paragraph" w:styleId="Footer">
    <w:name w:val="footer"/>
    <w:basedOn w:val="Normal"/>
    <w:link w:val="FooterChar"/>
    <w:uiPriority w:val="99"/>
    <w:unhideWhenUsed/>
    <w:rsid w:val="00A05B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B08"/>
  </w:style>
  <w:style w:type="paragraph" w:styleId="BalloonText">
    <w:name w:val="Balloon Text"/>
    <w:basedOn w:val="Normal"/>
    <w:link w:val="BalloonTextChar"/>
    <w:uiPriority w:val="99"/>
    <w:semiHidden/>
    <w:unhideWhenUsed/>
    <w:rsid w:val="001C4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968"/>
    <w:rPr>
      <w:rFonts w:ascii="Segoe UI" w:hAnsi="Segoe UI" w:cs="Segoe UI"/>
      <w:sz w:val="18"/>
      <w:szCs w:val="18"/>
    </w:rPr>
  </w:style>
  <w:style w:type="paragraph" w:styleId="BodyText">
    <w:name w:val="Body Text"/>
    <w:basedOn w:val="Normal"/>
    <w:link w:val="BodyText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D718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2630"/>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D9542A"/>
    <w:rPr>
      <w:sz w:val="16"/>
      <w:szCs w:val="16"/>
    </w:rPr>
  </w:style>
  <w:style w:type="paragraph" w:styleId="CommentText">
    <w:name w:val="annotation text"/>
    <w:basedOn w:val="Normal"/>
    <w:link w:val="CommentTextChar"/>
    <w:uiPriority w:val="99"/>
    <w:unhideWhenUsed/>
    <w:rsid w:val="00D9542A"/>
    <w:pPr>
      <w:spacing w:line="240" w:lineRule="auto"/>
    </w:pPr>
    <w:rPr>
      <w:sz w:val="20"/>
      <w:szCs w:val="20"/>
    </w:rPr>
  </w:style>
  <w:style w:type="character" w:customStyle="1" w:styleId="CommentTextChar">
    <w:name w:val="Comment Text Char"/>
    <w:basedOn w:val="DefaultParagraphFont"/>
    <w:link w:val="CommentText"/>
    <w:uiPriority w:val="99"/>
    <w:rsid w:val="00D9542A"/>
    <w:rPr>
      <w:sz w:val="20"/>
      <w:szCs w:val="20"/>
    </w:rPr>
  </w:style>
  <w:style w:type="paragraph" w:styleId="CommentSubject">
    <w:name w:val="annotation subject"/>
    <w:basedOn w:val="CommentText"/>
    <w:next w:val="CommentText"/>
    <w:link w:val="CommentSubjectChar"/>
    <w:uiPriority w:val="99"/>
    <w:semiHidden/>
    <w:unhideWhenUsed/>
    <w:rsid w:val="00D9542A"/>
    <w:rPr>
      <w:b/>
      <w:bCs/>
    </w:rPr>
  </w:style>
  <w:style w:type="character" w:customStyle="1" w:styleId="CommentSubjectChar">
    <w:name w:val="Comment Subject Char"/>
    <w:basedOn w:val="CommentTextChar"/>
    <w:link w:val="CommentSubject"/>
    <w:uiPriority w:val="99"/>
    <w:semiHidden/>
    <w:rsid w:val="00D9542A"/>
    <w:rPr>
      <w:b/>
      <w:bCs/>
      <w:sz w:val="20"/>
      <w:szCs w:val="20"/>
    </w:rPr>
  </w:style>
  <w:style w:type="paragraph" w:customStyle="1" w:styleId="Default">
    <w:name w:val="Default"/>
    <w:rsid w:val="009D1B35"/>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9D1B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DefaultParagraphFont"/>
    <w:rsid w:val="009D1B35"/>
  </w:style>
  <w:style w:type="character" w:customStyle="1" w:styleId="normaltextrun">
    <w:name w:val="normaltextrun"/>
    <w:basedOn w:val="DefaultParagraphFont"/>
    <w:rsid w:val="009D1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2630"/>
    <w:pPr>
      <w:widowControl w:val="0"/>
      <w:autoSpaceDE w:val="0"/>
      <w:autoSpaceDN w:val="0"/>
      <w:spacing w:after="0" w:line="240" w:lineRule="auto"/>
      <w:ind w:left="2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eGrid">
    <w:name w:val="Table Grid"/>
    <w:basedOn w:val="TableNormal"/>
    <w:uiPriority w:val="39"/>
    <w:rsid w:val="00A05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5B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5B08"/>
  </w:style>
  <w:style w:type="paragraph" w:styleId="Footer">
    <w:name w:val="footer"/>
    <w:basedOn w:val="Normal"/>
    <w:link w:val="FooterChar"/>
    <w:uiPriority w:val="99"/>
    <w:unhideWhenUsed/>
    <w:rsid w:val="00A05B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B08"/>
  </w:style>
  <w:style w:type="paragraph" w:styleId="BalloonText">
    <w:name w:val="Balloon Text"/>
    <w:basedOn w:val="Normal"/>
    <w:link w:val="BalloonTextChar"/>
    <w:uiPriority w:val="99"/>
    <w:semiHidden/>
    <w:unhideWhenUsed/>
    <w:rsid w:val="001C4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968"/>
    <w:rPr>
      <w:rFonts w:ascii="Segoe UI" w:hAnsi="Segoe UI" w:cs="Segoe UI"/>
      <w:sz w:val="18"/>
      <w:szCs w:val="18"/>
    </w:rPr>
  </w:style>
  <w:style w:type="paragraph" w:styleId="BodyText">
    <w:name w:val="Body Text"/>
    <w:basedOn w:val="Normal"/>
    <w:link w:val="BodyText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D718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2630"/>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D9542A"/>
    <w:rPr>
      <w:sz w:val="16"/>
      <w:szCs w:val="16"/>
    </w:rPr>
  </w:style>
  <w:style w:type="paragraph" w:styleId="CommentText">
    <w:name w:val="annotation text"/>
    <w:basedOn w:val="Normal"/>
    <w:link w:val="CommentTextChar"/>
    <w:uiPriority w:val="99"/>
    <w:unhideWhenUsed/>
    <w:rsid w:val="00D9542A"/>
    <w:pPr>
      <w:spacing w:line="240" w:lineRule="auto"/>
    </w:pPr>
    <w:rPr>
      <w:sz w:val="20"/>
      <w:szCs w:val="20"/>
    </w:rPr>
  </w:style>
  <w:style w:type="character" w:customStyle="1" w:styleId="CommentTextChar">
    <w:name w:val="Comment Text Char"/>
    <w:basedOn w:val="DefaultParagraphFont"/>
    <w:link w:val="CommentText"/>
    <w:uiPriority w:val="99"/>
    <w:rsid w:val="00D9542A"/>
    <w:rPr>
      <w:sz w:val="20"/>
      <w:szCs w:val="20"/>
    </w:rPr>
  </w:style>
  <w:style w:type="paragraph" w:styleId="CommentSubject">
    <w:name w:val="annotation subject"/>
    <w:basedOn w:val="CommentText"/>
    <w:next w:val="CommentText"/>
    <w:link w:val="CommentSubjectChar"/>
    <w:uiPriority w:val="99"/>
    <w:semiHidden/>
    <w:unhideWhenUsed/>
    <w:rsid w:val="00D9542A"/>
    <w:rPr>
      <w:b/>
      <w:bCs/>
    </w:rPr>
  </w:style>
  <w:style w:type="character" w:customStyle="1" w:styleId="CommentSubjectChar">
    <w:name w:val="Comment Subject Char"/>
    <w:basedOn w:val="CommentTextChar"/>
    <w:link w:val="CommentSubject"/>
    <w:uiPriority w:val="99"/>
    <w:semiHidden/>
    <w:rsid w:val="00D9542A"/>
    <w:rPr>
      <w:b/>
      <w:bCs/>
      <w:sz w:val="20"/>
      <w:szCs w:val="20"/>
    </w:rPr>
  </w:style>
  <w:style w:type="paragraph" w:customStyle="1" w:styleId="Default">
    <w:name w:val="Default"/>
    <w:rsid w:val="009D1B35"/>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9D1B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DefaultParagraphFont"/>
    <w:rsid w:val="009D1B35"/>
  </w:style>
  <w:style w:type="character" w:customStyle="1" w:styleId="normaltextrun">
    <w:name w:val="normaltextrun"/>
    <w:basedOn w:val="DefaultParagraphFont"/>
    <w:rsid w:val="009D1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50188826">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31435377">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661349096">
      <w:bodyDiv w:val="1"/>
      <w:marLeft w:val="0"/>
      <w:marRight w:val="0"/>
      <w:marTop w:val="0"/>
      <w:marBottom w:val="0"/>
      <w:divBdr>
        <w:top w:val="none" w:sz="0" w:space="0" w:color="auto"/>
        <w:left w:val="none" w:sz="0" w:space="0" w:color="auto"/>
        <w:bottom w:val="none" w:sz="0" w:space="0" w:color="auto"/>
        <w:right w:val="none" w:sz="0" w:space="0" w:color="auto"/>
      </w:divBdr>
    </w:div>
    <w:div w:id="785545061">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31599197">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05017507">
      <w:bodyDiv w:val="1"/>
      <w:marLeft w:val="0"/>
      <w:marRight w:val="0"/>
      <w:marTop w:val="0"/>
      <w:marBottom w:val="0"/>
      <w:divBdr>
        <w:top w:val="none" w:sz="0" w:space="0" w:color="auto"/>
        <w:left w:val="none" w:sz="0" w:space="0" w:color="auto"/>
        <w:bottom w:val="none" w:sz="0" w:space="0" w:color="auto"/>
        <w:right w:val="none" w:sz="0" w:space="0" w:color="auto"/>
      </w:divBdr>
    </w:div>
    <w:div w:id="1143111652">
      <w:bodyDiv w:val="1"/>
      <w:marLeft w:val="0"/>
      <w:marRight w:val="0"/>
      <w:marTop w:val="0"/>
      <w:marBottom w:val="0"/>
      <w:divBdr>
        <w:top w:val="none" w:sz="0" w:space="0" w:color="auto"/>
        <w:left w:val="none" w:sz="0" w:space="0" w:color="auto"/>
        <w:bottom w:val="none" w:sz="0" w:space="0" w:color="auto"/>
        <w:right w:val="none" w:sz="0" w:space="0" w:color="auto"/>
      </w:divBdr>
    </w:div>
    <w:div w:id="1195651047">
      <w:bodyDiv w:val="1"/>
      <w:marLeft w:val="0"/>
      <w:marRight w:val="0"/>
      <w:marTop w:val="0"/>
      <w:marBottom w:val="0"/>
      <w:divBdr>
        <w:top w:val="none" w:sz="0" w:space="0" w:color="auto"/>
        <w:left w:val="none" w:sz="0" w:space="0" w:color="auto"/>
        <w:bottom w:val="none" w:sz="0" w:space="0" w:color="auto"/>
        <w:right w:val="none" w:sz="0" w:space="0" w:color="auto"/>
      </w:divBdr>
    </w:div>
    <w:div w:id="1204749357">
      <w:bodyDiv w:val="1"/>
      <w:marLeft w:val="0"/>
      <w:marRight w:val="0"/>
      <w:marTop w:val="0"/>
      <w:marBottom w:val="0"/>
      <w:divBdr>
        <w:top w:val="none" w:sz="0" w:space="0" w:color="auto"/>
        <w:left w:val="none" w:sz="0" w:space="0" w:color="auto"/>
        <w:bottom w:val="none" w:sz="0" w:space="0" w:color="auto"/>
        <w:right w:val="none" w:sz="0" w:space="0" w:color="auto"/>
      </w:divBdr>
    </w:div>
    <w:div w:id="1222517908">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383405939">
      <w:bodyDiv w:val="1"/>
      <w:marLeft w:val="0"/>
      <w:marRight w:val="0"/>
      <w:marTop w:val="0"/>
      <w:marBottom w:val="0"/>
      <w:divBdr>
        <w:top w:val="none" w:sz="0" w:space="0" w:color="auto"/>
        <w:left w:val="none" w:sz="0" w:space="0" w:color="auto"/>
        <w:bottom w:val="none" w:sz="0" w:space="0" w:color="auto"/>
        <w:right w:val="none" w:sz="0" w:space="0" w:color="auto"/>
      </w:divBdr>
    </w:div>
    <w:div w:id="1533416823">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 w:id="21269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2B05-D45C-41DC-B21E-8D002C1C1DDA}">
  <ds:schemaRefs>
    <ds:schemaRef ds:uri="http://schemas.microsoft.com/sharepoint/v3/contenttype/forms"/>
  </ds:schemaRefs>
</ds:datastoreItem>
</file>

<file path=customXml/itemProps2.xml><?xml version="1.0" encoding="utf-8"?>
<ds:datastoreItem xmlns:ds="http://schemas.openxmlformats.org/officeDocument/2006/customXml" ds:itemID="{C9DF931F-6A9C-452E-A114-2740D86A4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AC32B-4980-433B-B624-201267D8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2023</Words>
  <Characters>11536</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ASUS</cp:lastModifiedBy>
  <cp:revision>19</cp:revision>
  <cp:lastPrinted>2018-01-05T06:32:00Z</cp:lastPrinted>
  <dcterms:created xsi:type="dcterms:W3CDTF">2024-01-26T06:28:00Z</dcterms:created>
  <dcterms:modified xsi:type="dcterms:W3CDTF">2024-07-16T21:22:00Z</dcterms:modified>
</cp:coreProperties>
</file>