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4EA77FAF" w14:textId="066B590A" w:rsidR="00EC15BE" w:rsidRPr="00032E31" w:rsidRDefault="00621CF3" w:rsidP="006554C1">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sidR="00DE184F">
        <w:rPr>
          <w:rFonts w:ascii="Times New Roman" w:hAnsi="Times New Roman" w:cs="Times New Roman"/>
          <w:b/>
          <w:sz w:val="28"/>
          <w:szCs w:val="28"/>
        </w:rPr>
        <w:t>POYRAZ</w:t>
      </w:r>
      <w:r w:rsidR="00EC15BE">
        <w:rPr>
          <w:rFonts w:ascii="Times New Roman" w:hAnsi="Times New Roman" w:cs="Times New Roman"/>
          <w:b/>
          <w:sz w:val="28"/>
          <w:szCs w:val="28"/>
        </w:rPr>
        <w:t xml:space="preserve"> SER</w:t>
      </w:r>
      <w:r w:rsidR="006554C1">
        <w:rPr>
          <w:rFonts w:ascii="Times New Roman" w:hAnsi="Times New Roman" w:cs="Times New Roman"/>
          <w:b/>
          <w:sz w:val="28"/>
          <w:szCs w:val="28"/>
        </w:rPr>
        <w:t>BEST</w:t>
      </w:r>
      <w:r w:rsidR="00ED1559">
        <w:rPr>
          <w:rFonts w:ascii="Times New Roman" w:hAnsi="Times New Roman" w:cs="Times New Roman"/>
          <w:b/>
          <w:sz w:val="28"/>
          <w:szCs w:val="28"/>
        </w:rPr>
        <w:t>(TL)</w:t>
      </w:r>
      <w:r w:rsidR="006554C1">
        <w:rPr>
          <w:rFonts w:ascii="Times New Roman" w:hAnsi="Times New Roman" w:cs="Times New Roman"/>
          <w:b/>
          <w:sz w:val="28"/>
          <w:szCs w:val="28"/>
        </w:rPr>
        <w:t xml:space="preserve"> FON</w:t>
      </w:r>
      <w:r w:rsidR="002F05F2">
        <w:rPr>
          <w:rFonts w:ascii="Times New Roman" w:hAnsi="Times New Roman" w:cs="Times New Roman"/>
          <w:b/>
          <w:sz w:val="28"/>
          <w:szCs w:val="28"/>
        </w:rPr>
        <w:t xml:space="preserve"> </w:t>
      </w:r>
      <w:r w:rsidR="00ED1559">
        <w:rPr>
          <w:rFonts w:ascii="Times New Roman" w:hAnsi="Times New Roman" w:cs="Times New Roman"/>
          <w:b/>
          <w:sz w:val="28"/>
          <w:szCs w:val="28"/>
        </w:rPr>
        <w:t>(HİSSE SENEDİ YOĞUN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69874B94" w:rsidR="00621CF3" w:rsidRPr="00237C1F" w:rsidRDefault="003C24E1" w:rsidP="00621CF3">
      <w:pPr>
        <w:spacing w:after="0"/>
        <w:jc w:val="center"/>
        <w:rPr>
          <w:rFonts w:ascii="Times New Roman" w:hAnsi="Times New Roman" w:cs="Times New Roman"/>
          <w:sz w:val="24"/>
          <w:szCs w:val="24"/>
        </w:rPr>
      </w:pPr>
      <w:r>
        <w:rPr>
          <w:rFonts w:ascii="Times New Roman" w:hAnsi="Times New Roman" w:cs="Times New Roman"/>
          <w:sz w:val="24"/>
          <w:szCs w:val="24"/>
        </w:rPr>
        <w:t>01</w:t>
      </w:r>
      <w:r w:rsidR="00DE184F">
        <w:rPr>
          <w:rFonts w:ascii="Times New Roman" w:hAnsi="Times New Roman" w:cs="Times New Roman"/>
          <w:sz w:val="24"/>
          <w:szCs w:val="24"/>
        </w:rPr>
        <w:t xml:space="preserve"> OCAK</w:t>
      </w:r>
      <w:r w:rsidR="00CE6762">
        <w:rPr>
          <w:rFonts w:ascii="Times New Roman" w:hAnsi="Times New Roman" w:cs="Times New Roman"/>
          <w:sz w:val="24"/>
          <w:szCs w:val="24"/>
        </w:rPr>
        <w:t xml:space="preserve"> –</w:t>
      </w:r>
      <w:r w:rsidR="002F05F2">
        <w:rPr>
          <w:rFonts w:ascii="Times New Roman" w:hAnsi="Times New Roman" w:cs="Times New Roman"/>
          <w:sz w:val="24"/>
          <w:szCs w:val="24"/>
        </w:rPr>
        <w:t xml:space="preserve"> </w:t>
      </w:r>
      <w:r w:rsidR="002F05F2" w:rsidRPr="002F05F2">
        <w:rPr>
          <w:rFonts w:ascii="Times New Roman" w:hAnsi="Times New Roman" w:cs="Times New Roman"/>
          <w:sz w:val="24"/>
          <w:szCs w:val="24"/>
        </w:rPr>
        <w:t xml:space="preserve">30 HAZİRAN 2024 </w:t>
      </w:r>
      <w:r w:rsidR="00621CF3" w:rsidRPr="00237C1F">
        <w:rPr>
          <w:rFonts w:ascii="Times New Roman" w:hAnsi="Times New Roman" w:cs="Times New Roman"/>
          <w:sz w:val="24"/>
          <w:szCs w:val="24"/>
        </w:rPr>
        <w:t xml:space="preserve">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5F439A2A" w:rsidR="00621CF3" w:rsidRDefault="002F05F2" w:rsidP="00621CF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t>TANITICI BİLGİLER</w:t>
      </w:r>
    </w:p>
    <w:tbl>
      <w:tblPr>
        <w:tblStyle w:val="TabloKlavuzu"/>
        <w:tblW w:w="9180" w:type="dxa"/>
        <w:tblLook w:val="04A0" w:firstRow="1" w:lastRow="0" w:firstColumn="1" w:lastColumn="0" w:noHBand="0" w:noVBand="1"/>
      </w:tblPr>
      <w:tblGrid>
        <w:gridCol w:w="1819"/>
        <w:gridCol w:w="1716"/>
        <w:gridCol w:w="5645"/>
      </w:tblGrid>
      <w:tr w:rsidR="001B1348" w:rsidRPr="00BE37F7" w14:paraId="1687B3A0" w14:textId="77777777" w:rsidTr="001A238C">
        <w:trPr>
          <w:trHeight w:val="818"/>
        </w:trPr>
        <w:tc>
          <w:tcPr>
            <w:tcW w:w="3535"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12785DD4" w:rsidR="001B1348" w:rsidRPr="00BE37F7" w:rsidRDefault="00EC15BE" w:rsidP="001B1348">
            <w:pPr>
              <w:jc w:val="center"/>
              <w:rPr>
                <w:rFonts w:ascii="Times New Roman" w:hAnsi="Times New Roman" w:cs="Times New Roman"/>
                <w:sz w:val="24"/>
                <w:szCs w:val="24"/>
              </w:rPr>
            </w:pPr>
            <w:r>
              <w:rPr>
                <w:rFonts w:ascii="Times New Roman" w:hAnsi="Times New Roman" w:cs="Times New Roman"/>
                <w:sz w:val="24"/>
                <w:szCs w:val="24"/>
              </w:rPr>
              <w:t>0</w:t>
            </w:r>
            <w:r w:rsidR="00DE184F">
              <w:rPr>
                <w:rFonts w:ascii="Times New Roman" w:hAnsi="Times New Roman" w:cs="Times New Roman"/>
                <w:sz w:val="24"/>
                <w:szCs w:val="24"/>
              </w:rPr>
              <w:t xml:space="preserve">5 Ocak </w:t>
            </w:r>
            <w:r w:rsidR="001B1348" w:rsidRPr="00BE37F7">
              <w:rPr>
                <w:rFonts w:ascii="Times New Roman" w:hAnsi="Times New Roman" w:cs="Times New Roman"/>
                <w:sz w:val="24"/>
                <w:szCs w:val="24"/>
              </w:rPr>
              <w:t>20</w:t>
            </w:r>
            <w:r>
              <w:rPr>
                <w:rFonts w:ascii="Times New Roman" w:hAnsi="Times New Roman" w:cs="Times New Roman"/>
                <w:sz w:val="24"/>
                <w:szCs w:val="24"/>
              </w:rPr>
              <w:t>2</w:t>
            </w:r>
            <w:r w:rsidR="00DE184F">
              <w:rPr>
                <w:rFonts w:ascii="Times New Roman" w:hAnsi="Times New Roman" w:cs="Times New Roman"/>
                <w:sz w:val="24"/>
                <w:szCs w:val="24"/>
              </w:rPr>
              <w:t>2</w:t>
            </w:r>
          </w:p>
        </w:tc>
        <w:tc>
          <w:tcPr>
            <w:tcW w:w="5645"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1A238C">
        <w:trPr>
          <w:trHeight w:val="272"/>
        </w:trPr>
        <w:tc>
          <w:tcPr>
            <w:tcW w:w="3535" w:type="dxa"/>
            <w:gridSpan w:val="2"/>
          </w:tcPr>
          <w:p w14:paraId="6F02B738" w14:textId="34C1C020" w:rsidR="001B1348" w:rsidRPr="00BE37F7" w:rsidRDefault="003E3637" w:rsidP="007D75CD">
            <w:pPr>
              <w:jc w:val="center"/>
              <w:rPr>
                <w:rFonts w:ascii="Times New Roman" w:hAnsi="Times New Roman" w:cs="Times New Roman"/>
                <w:b/>
                <w:sz w:val="24"/>
                <w:szCs w:val="24"/>
              </w:rPr>
            </w:pPr>
            <w:r w:rsidRPr="003E3637">
              <w:rPr>
                <w:rFonts w:ascii="Times New Roman" w:hAnsi="Times New Roman" w:cs="Times New Roman"/>
                <w:b/>
                <w:sz w:val="24"/>
                <w:szCs w:val="24"/>
              </w:rPr>
              <w:t>30 Haziran 2024 itibariyle</w:t>
            </w:r>
          </w:p>
        </w:tc>
        <w:tc>
          <w:tcPr>
            <w:tcW w:w="5645"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1A238C">
        <w:trPr>
          <w:trHeight w:val="546"/>
        </w:trPr>
        <w:tc>
          <w:tcPr>
            <w:tcW w:w="1819"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716" w:type="dxa"/>
          </w:tcPr>
          <w:p w14:paraId="7EB7923A" w14:textId="436FB2D5" w:rsidR="001B1348" w:rsidRPr="00BE37F7" w:rsidRDefault="00396E76" w:rsidP="00236423">
            <w:pPr>
              <w:jc w:val="right"/>
              <w:rPr>
                <w:rFonts w:ascii="Times New Roman" w:hAnsi="Times New Roman" w:cs="Times New Roman"/>
                <w:sz w:val="24"/>
                <w:szCs w:val="24"/>
              </w:rPr>
            </w:pPr>
            <w:r w:rsidRPr="00396E76">
              <w:rPr>
                <w:rFonts w:ascii="Times New Roman" w:hAnsi="Times New Roman" w:cs="Times New Roman"/>
                <w:sz w:val="24"/>
                <w:szCs w:val="24"/>
              </w:rPr>
              <w:t>18.361.924,12</w:t>
            </w:r>
            <w:r w:rsidR="00E25E72" w:rsidRPr="00E25E72">
              <w:rPr>
                <w:rFonts w:ascii="Times New Roman" w:hAnsi="Times New Roman" w:cs="Times New Roman"/>
                <w:sz w:val="24"/>
                <w:szCs w:val="24"/>
              </w:rPr>
              <w:tab/>
            </w:r>
          </w:p>
        </w:tc>
        <w:tc>
          <w:tcPr>
            <w:tcW w:w="5645" w:type="dxa"/>
          </w:tcPr>
          <w:p w14:paraId="74B65ACA" w14:textId="6A191560" w:rsidR="001B1348" w:rsidRDefault="000A04F5" w:rsidP="00CF029B">
            <w:pPr>
              <w:rPr>
                <w:rFonts w:ascii="Times New Roman" w:hAnsi="Times New Roman" w:cs="Times New Roman"/>
                <w:sz w:val="24"/>
                <w:szCs w:val="24"/>
              </w:rPr>
            </w:pPr>
            <w:r>
              <w:rPr>
                <w:rFonts w:ascii="Times New Roman" w:hAnsi="Times New Roman" w:cs="Times New Roman"/>
                <w:sz w:val="24"/>
                <w:szCs w:val="24"/>
              </w:rPr>
              <w:t xml:space="preserve">Niyazi Atasoy </w:t>
            </w:r>
          </w:p>
          <w:p w14:paraId="6371B580" w14:textId="1514F4AB" w:rsidR="00EC15BE" w:rsidRPr="00BE37F7" w:rsidRDefault="000A04F5" w:rsidP="00CF029B">
            <w:pPr>
              <w:rPr>
                <w:rFonts w:ascii="Times New Roman" w:hAnsi="Times New Roman" w:cs="Times New Roman"/>
                <w:sz w:val="24"/>
                <w:szCs w:val="24"/>
              </w:rPr>
            </w:pPr>
            <w:r>
              <w:rPr>
                <w:rFonts w:ascii="Times New Roman" w:hAnsi="Times New Roman" w:cs="Times New Roman"/>
                <w:sz w:val="24"/>
                <w:szCs w:val="24"/>
              </w:rPr>
              <w:t xml:space="preserve">Anıl Tokat </w:t>
            </w:r>
          </w:p>
        </w:tc>
      </w:tr>
      <w:tr w:rsidR="001B1348" w:rsidRPr="00BE37F7" w14:paraId="49414BC0" w14:textId="77777777" w:rsidTr="001A238C">
        <w:trPr>
          <w:trHeight w:val="546"/>
        </w:trPr>
        <w:tc>
          <w:tcPr>
            <w:tcW w:w="1819"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716" w:type="dxa"/>
          </w:tcPr>
          <w:p w14:paraId="22FF4823" w14:textId="5AE56623" w:rsidR="00237C1F" w:rsidRPr="00BE37F7" w:rsidRDefault="00396E76" w:rsidP="00236423">
            <w:pPr>
              <w:jc w:val="right"/>
              <w:rPr>
                <w:rFonts w:ascii="Times New Roman" w:hAnsi="Times New Roman" w:cs="Times New Roman"/>
                <w:sz w:val="24"/>
                <w:szCs w:val="24"/>
              </w:rPr>
            </w:pPr>
            <w:r w:rsidRPr="00396E76">
              <w:rPr>
                <w:rFonts w:ascii="Times New Roman" w:hAnsi="Times New Roman" w:cs="Times New Roman"/>
                <w:sz w:val="24"/>
                <w:szCs w:val="24"/>
              </w:rPr>
              <w:t>28,493235</w:t>
            </w:r>
          </w:p>
        </w:tc>
        <w:tc>
          <w:tcPr>
            <w:tcW w:w="5645"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1A238C">
        <w:trPr>
          <w:trHeight w:val="272"/>
        </w:trPr>
        <w:tc>
          <w:tcPr>
            <w:tcW w:w="1819"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716" w:type="dxa"/>
          </w:tcPr>
          <w:p w14:paraId="5681A160" w14:textId="5BF8C9AF" w:rsidR="00E50129" w:rsidRPr="00BE37F7" w:rsidRDefault="00E25E72" w:rsidP="00E25E72">
            <w:pPr>
              <w:jc w:val="center"/>
              <w:rPr>
                <w:rFonts w:ascii="Times New Roman" w:hAnsi="Times New Roman" w:cs="Times New Roman"/>
                <w:sz w:val="24"/>
                <w:szCs w:val="24"/>
              </w:rPr>
            </w:pPr>
            <w:r>
              <w:rPr>
                <w:rFonts w:ascii="Times New Roman" w:hAnsi="Times New Roman" w:cs="Times New Roman"/>
                <w:sz w:val="24"/>
                <w:szCs w:val="24"/>
              </w:rPr>
              <w:t xml:space="preserve">                    </w:t>
            </w:r>
            <w:r w:rsidR="00396E76">
              <w:rPr>
                <w:rFonts w:ascii="Times New Roman" w:hAnsi="Times New Roman" w:cs="Times New Roman"/>
                <w:sz w:val="24"/>
                <w:szCs w:val="24"/>
              </w:rPr>
              <w:t>31</w:t>
            </w:r>
          </w:p>
        </w:tc>
        <w:tc>
          <w:tcPr>
            <w:tcW w:w="5645" w:type="dxa"/>
            <w:vMerge w:val="restart"/>
          </w:tcPr>
          <w:p w14:paraId="4618D6DC" w14:textId="2F93A23E" w:rsidR="00E50129" w:rsidRPr="00ED1559" w:rsidRDefault="00ED1559" w:rsidP="00E50129">
            <w:pPr>
              <w:jc w:val="both"/>
              <w:rPr>
                <w:rFonts w:ascii="Times New Roman" w:hAnsi="Times New Roman" w:cs="Times New Roman"/>
                <w:sz w:val="24"/>
                <w:szCs w:val="24"/>
              </w:rPr>
            </w:pPr>
            <w:r w:rsidRPr="00ED1559">
              <w:rPr>
                <w:rFonts w:ascii="Times New Roman" w:hAnsi="Times New Roman" w:cs="Times New Roman"/>
              </w:rPr>
              <w:t xml:space="preserve">Fon portföyünde yalnızca Türk lirası cinsinden varlıklar ve işlemler yer alacaktır. Fon portföyünde yabancı para birimi cinsinden varlık ve altın ile diğer kıymetli madenler ve bunlara dayalı sermaye piyasası araçları bulunmayacaktır. Ayrıca, fon portföyünde yabancı para birimi cinsinden varlık ve altın ile diğer kıymetli madenler ve bunlara dayalı sermaye piyasası araçlarına yönelik organize ve </w:t>
            </w:r>
            <w:proofErr w:type="spellStart"/>
            <w:r w:rsidRPr="00ED1559">
              <w:rPr>
                <w:rFonts w:ascii="Times New Roman" w:hAnsi="Times New Roman" w:cs="Times New Roman"/>
              </w:rPr>
              <w:t>tezgahüstü</w:t>
            </w:r>
            <w:proofErr w:type="spellEnd"/>
            <w:r w:rsidRPr="00ED1559">
              <w:rPr>
                <w:rFonts w:ascii="Times New Roman" w:hAnsi="Times New Roman" w:cs="Times New Roman"/>
              </w:rPr>
              <w:t xml:space="preserve"> türev araçlara yer verilmeyecektir. Fon toplam değerinin en az </w:t>
            </w:r>
            <w:proofErr w:type="gramStart"/>
            <w:r w:rsidRPr="00ED1559">
              <w:rPr>
                <w:rFonts w:ascii="Times New Roman" w:hAnsi="Times New Roman" w:cs="Times New Roman"/>
              </w:rPr>
              <w:t>%80</w:t>
            </w:r>
            <w:proofErr w:type="gramEnd"/>
            <w:r w:rsidRPr="00ED1559">
              <w:rPr>
                <w:rFonts w:ascii="Times New Roman" w:hAnsi="Times New Roman" w:cs="Times New Roman"/>
              </w:rPr>
              <w:t xml:space="preserve">’i devamlı olarak </w:t>
            </w:r>
            <w:proofErr w:type="spellStart"/>
            <w:r w:rsidRPr="00ED1559">
              <w:rPr>
                <w:rFonts w:ascii="Times New Roman" w:hAnsi="Times New Roman" w:cs="Times New Roman"/>
              </w:rPr>
              <w:t>BIST’te</w:t>
            </w:r>
            <w:proofErr w:type="spellEnd"/>
            <w:r w:rsidRPr="00ED1559">
              <w:rPr>
                <w:rFonts w:ascii="Times New Roman" w:hAnsi="Times New Roman" w:cs="Times New Roman"/>
              </w:rPr>
              <w:t xml:space="preserve"> işlem gören yerli ihraççıların ortaklık paylarına ve bu ortaklık paylarına ilişkin endeksleri takip etmek üzere kurulan yerli borsa yatırım fonları katılma paylarına yatırılır. Fonun yatırım amacı ağırlıklı olarak </w:t>
            </w:r>
            <w:proofErr w:type="spellStart"/>
            <w:r w:rsidRPr="00ED1559">
              <w:rPr>
                <w:rFonts w:ascii="Times New Roman" w:hAnsi="Times New Roman" w:cs="Times New Roman"/>
              </w:rPr>
              <w:t>BIST’te</w:t>
            </w:r>
            <w:proofErr w:type="spellEnd"/>
            <w:r w:rsidRPr="00ED1559">
              <w:rPr>
                <w:rFonts w:ascii="Times New Roman" w:hAnsi="Times New Roman" w:cs="Times New Roman"/>
              </w:rPr>
              <w:t xml:space="preserve"> işlem gören ortaklık paylarına yatırım yaparak Türk </w:t>
            </w:r>
            <w:proofErr w:type="gramStart"/>
            <w:r w:rsidRPr="00ED1559">
              <w:rPr>
                <w:rFonts w:ascii="Times New Roman" w:hAnsi="Times New Roman" w:cs="Times New Roman"/>
              </w:rPr>
              <w:t>Lirası</w:t>
            </w:r>
            <w:proofErr w:type="gramEnd"/>
            <w:r w:rsidRPr="00ED1559">
              <w:rPr>
                <w:rFonts w:ascii="Times New Roman" w:hAnsi="Times New Roman" w:cs="Times New Roman"/>
              </w:rPr>
              <w:t xml:space="preserve"> bazında kazanç elde etmektir. Söz konusu yatırım hedeflerine ulaşılması amacıyla fon portföyü, yatırım öngörüleri doğrultusunda, uzun pozisyonlar alınarak oluşturulabileceği gibi kısa pozisyonlar alınarak veya uzun ve kısa pozisyonlardan oluşan bir portföy karması şeklinde oluşturulabilecektir. Uzun ve kısa pozisyonlar fon portföyüne kaldıraçlı olarak dahil edilebilir.</w:t>
            </w:r>
          </w:p>
        </w:tc>
      </w:tr>
      <w:tr w:rsidR="00E50129" w:rsidRPr="00BE37F7" w14:paraId="1F67F208" w14:textId="77777777" w:rsidTr="001A238C">
        <w:trPr>
          <w:trHeight w:val="546"/>
        </w:trPr>
        <w:tc>
          <w:tcPr>
            <w:tcW w:w="1819"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716" w:type="dxa"/>
          </w:tcPr>
          <w:p w14:paraId="2E8AB30D" w14:textId="761240A5" w:rsidR="00E50129" w:rsidRPr="00BE37F7" w:rsidRDefault="00DD5023" w:rsidP="00236423">
            <w:pPr>
              <w:jc w:val="right"/>
              <w:rPr>
                <w:rFonts w:ascii="Times New Roman" w:hAnsi="Times New Roman" w:cs="Times New Roman"/>
                <w:sz w:val="24"/>
                <w:szCs w:val="24"/>
              </w:rPr>
            </w:pPr>
            <w:r>
              <w:rPr>
                <w:rFonts w:ascii="Times New Roman" w:hAnsi="Times New Roman" w:cs="Times New Roman"/>
                <w:sz w:val="24"/>
                <w:szCs w:val="24"/>
              </w:rPr>
              <w:t>0,64</w:t>
            </w:r>
          </w:p>
        </w:tc>
        <w:tc>
          <w:tcPr>
            <w:tcW w:w="5645"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1A238C">
        <w:trPr>
          <w:trHeight w:val="272"/>
        </w:trPr>
        <w:tc>
          <w:tcPr>
            <w:tcW w:w="3535"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645"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1A238C">
        <w:trPr>
          <w:trHeight w:val="261"/>
        </w:trPr>
        <w:tc>
          <w:tcPr>
            <w:tcW w:w="1819"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716" w:type="dxa"/>
          </w:tcPr>
          <w:p w14:paraId="2A07B50C" w14:textId="76C1A0F9" w:rsidR="00F70D62" w:rsidRPr="00BE37F7" w:rsidRDefault="0063638E" w:rsidP="0063638E">
            <w:pPr>
              <w:jc w:val="right"/>
              <w:rPr>
                <w:rFonts w:ascii="Times New Roman" w:hAnsi="Times New Roman" w:cs="Times New Roman"/>
                <w:sz w:val="24"/>
                <w:szCs w:val="24"/>
              </w:rPr>
            </w:pPr>
            <w:r>
              <w:rPr>
                <w:rFonts w:ascii="Times New Roman" w:hAnsi="Times New Roman" w:cs="Times New Roman"/>
                <w:sz w:val="24"/>
                <w:szCs w:val="24"/>
              </w:rPr>
              <w:t>78,56</w:t>
            </w:r>
          </w:p>
        </w:tc>
        <w:tc>
          <w:tcPr>
            <w:tcW w:w="5645" w:type="dxa"/>
            <w:vMerge/>
          </w:tcPr>
          <w:p w14:paraId="04B95A51" w14:textId="77777777" w:rsidR="00F70D62" w:rsidRPr="00BE37F7" w:rsidRDefault="00F70D62" w:rsidP="00A05B08">
            <w:pPr>
              <w:rPr>
                <w:rFonts w:ascii="Times New Roman" w:hAnsi="Times New Roman" w:cs="Times New Roman"/>
                <w:sz w:val="24"/>
                <w:szCs w:val="24"/>
              </w:rPr>
            </w:pPr>
          </w:p>
        </w:tc>
      </w:tr>
      <w:tr w:rsidR="00ED1559" w:rsidRPr="00BE37F7" w14:paraId="2FF0969D" w14:textId="77777777" w:rsidTr="001A238C">
        <w:trPr>
          <w:trHeight w:val="261"/>
        </w:trPr>
        <w:tc>
          <w:tcPr>
            <w:tcW w:w="1819" w:type="dxa"/>
          </w:tcPr>
          <w:p w14:paraId="6632D4B6" w14:textId="5FB5432F" w:rsidR="00ED1559" w:rsidRPr="00BE37F7" w:rsidRDefault="0063638E" w:rsidP="00A05B08">
            <w:pPr>
              <w:rPr>
                <w:rFonts w:ascii="Times New Roman" w:hAnsi="Times New Roman" w:cs="Times New Roman"/>
                <w:sz w:val="24"/>
                <w:szCs w:val="24"/>
              </w:rPr>
            </w:pPr>
            <w:r>
              <w:rPr>
                <w:rFonts w:ascii="Times New Roman" w:hAnsi="Times New Roman" w:cs="Times New Roman"/>
                <w:sz w:val="24"/>
                <w:szCs w:val="24"/>
              </w:rPr>
              <w:t>Repo</w:t>
            </w:r>
          </w:p>
        </w:tc>
        <w:tc>
          <w:tcPr>
            <w:tcW w:w="1716" w:type="dxa"/>
          </w:tcPr>
          <w:p w14:paraId="471725C1" w14:textId="4003C187" w:rsidR="00ED1559" w:rsidRDefault="0063638E" w:rsidP="0063638E">
            <w:pPr>
              <w:jc w:val="right"/>
              <w:rPr>
                <w:rFonts w:ascii="Times New Roman" w:hAnsi="Times New Roman" w:cs="Times New Roman"/>
                <w:sz w:val="24"/>
                <w:szCs w:val="24"/>
              </w:rPr>
            </w:pPr>
            <w:r>
              <w:rPr>
                <w:rFonts w:ascii="Times New Roman" w:hAnsi="Times New Roman" w:cs="Times New Roman"/>
                <w:sz w:val="24"/>
                <w:szCs w:val="24"/>
              </w:rPr>
              <w:t>-589,57</w:t>
            </w:r>
          </w:p>
        </w:tc>
        <w:tc>
          <w:tcPr>
            <w:tcW w:w="5645" w:type="dxa"/>
            <w:vMerge/>
          </w:tcPr>
          <w:p w14:paraId="5E103C92" w14:textId="77777777" w:rsidR="00ED1559" w:rsidRPr="00BE37F7" w:rsidRDefault="00ED1559" w:rsidP="00A05B08">
            <w:pPr>
              <w:rPr>
                <w:rFonts w:ascii="Times New Roman" w:hAnsi="Times New Roman" w:cs="Times New Roman"/>
                <w:sz w:val="24"/>
                <w:szCs w:val="24"/>
              </w:rPr>
            </w:pPr>
          </w:p>
        </w:tc>
      </w:tr>
      <w:tr w:rsidR="00ED1559" w:rsidRPr="00BE37F7" w14:paraId="0EA686B8" w14:textId="77777777" w:rsidTr="001A238C">
        <w:trPr>
          <w:trHeight w:val="261"/>
        </w:trPr>
        <w:tc>
          <w:tcPr>
            <w:tcW w:w="1819" w:type="dxa"/>
          </w:tcPr>
          <w:p w14:paraId="5E879EE0" w14:textId="00C44594" w:rsidR="00ED1559" w:rsidRPr="00BE37F7" w:rsidRDefault="00ED1559"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716" w:type="dxa"/>
          </w:tcPr>
          <w:p w14:paraId="13E6F1A9" w14:textId="02664789" w:rsidR="00ED1559" w:rsidRDefault="0063638E" w:rsidP="0063638E">
            <w:pPr>
              <w:jc w:val="right"/>
              <w:rPr>
                <w:rFonts w:ascii="Times New Roman" w:hAnsi="Times New Roman" w:cs="Times New Roman"/>
                <w:sz w:val="24"/>
                <w:szCs w:val="24"/>
              </w:rPr>
            </w:pPr>
            <w:r>
              <w:rPr>
                <w:rFonts w:ascii="Times New Roman" w:hAnsi="Times New Roman" w:cs="Times New Roman"/>
                <w:sz w:val="24"/>
                <w:szCs w:val="24"/>
              </w:rPr>
              <w:t>19,69</w:t>
            </w:r>
          </w:p>
        </w:tc>
        <w:tc>
          <w:tcPr>
            <w:tcW w:w="5645" w:type="dxa"/>
            <w:vMerge/>
          </w:tcPr>
          <w:p w14:paraId="1DD1A4A8" w14:textId="77777777" w:rsidR="00ED1559" w:rsidRPr="00BE37F7" w:rsidRDefault="00ED1559" w:rsidP="00A05B08">
            <w:pPr>
              <w:rPr>
                <w:rFonts w:ascii="Times New Roman" w:hAnsi="Times New Roman" w:cs="Times New Roman"/>
                <w:sz w:val="24"/>
                <w:szCs w:val="24"/>
              </w:rPr>
            </w:pPr>
          </w:p>
        </w:tc>
      </w:tr>
      <w:tr w:rsidR="00E25E72" w:rsidRPr="00BE37F7" w14:paraId="4A3F8B00" w14:textId="77777777" w:rsidTr="001A238C">
        <w:trPr>
          <w:trHeight w:val="261"/>
        </w:trPr>
        <w:tc>
          <w:tcPr>
            <w:tcW w:w="1819" w:type="dxa"/>
          </w:tcPr>
          <w:p w14:paraId="3CCF0B2F" w14:textId="68CCAAA0" w:rsidR="00E25E72" w:rsidRDefault="00E25E72" w:rsidP="0063638E">
            <w:pPr>
              <w:rPr>
                <w:rFonts w:ascii="Times New Roman" w:hAnsi="Times New Roman" w:cs="Times New Roman"/>
                <w:sz w:val="24"/>
                <w:szCs w:val="24"/>
              </w:rPr>
            </w:pPr>
            <w:r>
              <w:rPr>
                <w:rFonts w:ascii="Times New Roman" w:hAnsi="Times New Roman" w:cs="Times New Roman"/>
                <w:sz w:val="24"/>
                <w:szCs w:val="24"/>
              </w:rPr>
              <w:t>Borçlanma senetleri</w:t>
            </w:r>
          </w:p>
        </w:tc>
        <w:tc>
          <w:tcPr>
            <w:tcW w:w="1716" w:type="dxa"/>
          </w:tcPr>
          <w:p w14:paraId="6DECDEE4" w14:textId="5356F6D2" w:rsidR="00E25E72" w:rsidRDefault="00C832BA" w:rsidP="0063638E">
            <w:pPr>
              <w:jc w:val="right"/>
              <w:rPr>
                <w:rFonts w:ascii="Times New Roman" w:hAnsi="Times New Roman" w:cs="Times New Roman"/>
                <w:sz w:val="24"/>
                <w:szCs w:val="24"/>
              </w:rPr>
            </w:pPr>
            <w:r>
              <w:rPr>
                <w:rFonts w:ascii="Times New Roman" w:hAnsi="Times New Roman" w:cs="Times New Roman"/>
                <w:sz w:val="24"/>
                <w:szCs w:val="24"/>
              </w:rPr>
              <w:t>378,62</w:t>
            </w:r>
          </w:p>
        </w:tc>
        <w:tc>
          <w:tcPr>
            <w:tcW w:w="5645" w:type="dxa"/>
            <w:vMerge/>
          </w:tcPr>
          <w:p w14:paraId="332FC258" w14:textId="77777777" w:rsidR="00E25E72" w:rsidRPr="00BE37F7" w:rsidRDefault="00E25E72" w:rsidP="00A05B08">
            <w:pPr>
              <w:rPr>
                <w:rFonts w:ascii="Times New Roman" w:hAnsi="Times New Roman" w:cs="Times New Roman"/>
                <w:sz w:val="24"/>
                <w:szCs w:val="24"/>
              </w:rPr>
            </w:pPr>
          </w:p>
        </w:tc>
      </w:tr>
      <w:tr w:rsidR="00E25E72" w:rsidRPr="00BE37F7" w14:paraId="2EF02A03" w14:textId="77777777" w:rsidTr="001A238C">
        <w:trPr>
          <w:trHeight w:val="261"/>
        </w:trPr>
        <w:tc>
          <w:tcPr>
            <w:tcW w:w="1819" w:type="dxa"/>
          </w:tcPr>
          <w:p w14:paraId="1F3DC161" w14:textId="2106D41A" w:rsidR="00E25E72" w:rsidRDefault="0063638E" w:rsidP="0063638E">
            <w:pPr>
              <w:rPr>
                <w:rFonts w:ascii="Times New Roman" w:hAnsi="Times New Roman" w:cs="Times New Roman"/>
                <w:sz w:val="24"/>
                <w:szCs w:val="24"/>
              </w:rPr>
            </w:pPr>
            <w:r>
              <w:rPr>
                <w:rFonts w:ascii="Times New Roman" w:hAnsi="Times New Roman" w:cs="Times New Roman"/>
                <w:sz w:val="24"/>
                <w:szCs w:val="24"/>
              </w:rPr>
              <w:t>Diğer</w:t>
            </w:r>
          </w:p>
        </w:tc>
        <w:tc>
          <w:tcPr>
            <w:tcW w:w="1716" w:type="dxa"/>
          </w:tcPr>
          <w:p w14:paraId="1F305A17" w14:textId="362BCA9E" w:rsidR="00E25E72" w:rsidRDefault="0063638E" w:rsidP="0063638E">
            <w:pPr>
              <w:jc w:val="right"/>
              <w:rPr>
                <w:rFonts w:ascii="Times New Roman" w:hAnsi="Times New Roman" w:cs="Times New Roman"/>
                <w:sz w:val="24"/>
                <w:szCs w:val="24"/>
              </w:rPr>
            </w:pPr>
            <w:r>
              <w:rPr>
                <w:rFonts w:ascii="Times New Roman" w:hAnsi="Times New Roman" w:cs="Times New Roman"/>
                <w:sz w:val="24"/>
                <w:szCs w:val="24"/>
              </w:rPr>
              <w:t>212,36</w:t>
            </w:r>
          </w:p>
        </w:tc>
        <w:tc>
          <w:tcPr>
            <w:tcW w:w="5645" w:type="dxa"/>
            <w:vMerge/>
          </w:tcPr>
          <w:p w14:paraId="1CFCF282" w14:textId="77777777" w:rsidR="00E25E72" w:rsidRPr="00BE37F7" w:rsidRDefault="00E25E72" w:rsidP="00A05B08">
            <w:pPr>
              <w:rPr>
                <w:rFonts w:ascii="Times New Roman" w:hAnsi="Times New Roman" w:cs="Times New Roman"/>
                <w:sz w:val="24"/>
                <w:szCs w:val="24"/>
              </w:rPr>
            </w:pPr>
          </w:p>
        </w:tc>
      </w:tr>
      <w:tr w:rsidR="0063638E" w:rsidRPr="00BE37F7" w14:paraId="1C4CEED0" w14:textId="77777777" w:rsidTr="001A238C">
        <w:trPr>
          <w:trHeight w:val="261"/>
        </w:trPr>
        <w:tc>
          <w:tcPr>
            <w:tcW w:w="1819" w:type="dxa"/>
          </w:tcPr>
          <w:p w14:paraId="375CC1C5" w14:textId="68023F77" w:rsidR="0063638E" w:rsidRDefault="0063638E" w:rsidP="0063638E">
            <w:pPr>
              <w:rPr>
                <w:rFonts w:ascii="Times New Roman" w:hAnsi="Times New Roman" w:cs="Times New Roman"/>
                <w:sz w:val="24"/>
                <w:szCs w:val="24"/>
              </w:rPr>
            </w:pPr>
            <w:r>
              <w:rPr>
                <w:rFonts w:ascii="Times New Roman" w:hAnsi="Times New Roman" w:cs="Times New Roman"/>
                <w:sz w:val="24"/>
                <w:szCs w:val="24"/>
              </w:rPr>
              <w:t>Mevduat</w:t>
            </w:r>
          </w:p>
        </w:tc>
        <w:tc>
          <w:tcPr>
            <w:tcW w:w="1716" w:type="dxa"/>
          </w:tcPr>
          <w:p w14:paraId="7C828060" w14:textId="44FCFE57" w:rsidR="0063638E" w:rsidRDefault="0063638E" w:rsidP="0063638E">
            <w:pPr>
              <w:jc w:val="right"/>
              <w:rPr>
                <w:rFonts w:ascii="Times New Roman" w:hAnsi="Times New Roman" w:cs="Times New Roman"/>
                <w:sz w:val="24"/>
                <w:szCs w:val="24"/>
              </w:rPr>
            </w:pPr>
            <w:r>
              <w:rPr>
                <w:rFonts w:ascii="Times New Roman" w:hAnsi="Times New Roman" w:cs="Times New Roman"/>
                <w:sz w:val="24"/>
                <w:szCs w:val="24"/>
              </w:rPr>
              <w:t>0,34</w:t>
            </w:r>
          </w:p>
        </w:tc>
        <w:tc>
          <w:tcPr>
            <w:tcW w:w="5645" w:type="dxa"/>
            <w:vMerge/>
          </w:tcPr>
          <w:p w14:paraId="3583CC9A" w14:textId="77777777" w:rsidR="0063638E" w:rsidRPr="00BE37F7" w:rsidRDefault="0063638E" w:rsidP="00A05B08">
            <w:pPr>
              <w:rPr>
                <w:rFonts w:ascii="Times New Roman" w:hAnsi="Times New Roman" w:cs="Times New Roman"/>
                <w:sz w:val="24"/>
                <w:szCs w:val="24"/>
              </w:rPr>
            </w:pPr>
          </w:p>
        </w:tc>
      </w:tr>
      <w:tr w:rsidR="00E50129" w:rsidRPr="00BE37F7" w14:paraId="14327E3C" w14:textId="77777777" w:rsidTr="001A238C">
        <w:trPr>
          <w:trHeight w:val="272"/>
        </w:trPr>
        <w:tc>
          <w:tcPr>
            <w:tcW w:w="3535"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645"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1A238C">
        <w:trPr>
          <w:trHeight w:val="484"/>
        </w:trPr>
        <w:tc>
          <w:tcPr>
            <w:tcW w:w="1819"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645"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7655DB">
        <w:trPr>
          <w:trHeight w:val="272"/>
        </w:trPr>
        <w:tc>
          <w:tcPr>
            <w:tcW w:w="9180"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9436" w:type="dxa"/>
        <w:tblInd w:w="75" w:type="dxa"/>
        <w:tblCellMar>
          <w:left w:w="70" w:type="dxa"/>
          <w:right w:w="70" w:type="dxa"/>
        </w:tblCellMar>
        <w:tblLook w:val="04A0" w:firstRow="1" w:lastRow="0" w:firstColumn="1" w:lastColumn="0" w:noHBand="0" w:noVBand="1"/>
      </w:tblPr>
      <w:tblGrid>
        <w:gridCol w:w="913"/>
        <w:gridCol w:w="787"/>
        <w:gridCol w:w="1210"/>
        <w:gridCol w:w="1706"/>
        <w:gridCol w:w="1296"/>
        <w:gridCol w:w="1210"/>
        <w:gridCol w:w="1073"/>
        <w:gridCol w:w="1265"/>
      </w:tblGrid>
      <w:tr w:rsidR="00CB0656" w:rsidRPr="00CB0656" w14:paraId="30C81654" w14:textId="77777777" w:rsidTr="00CB0656">
        <w:trPr>
          <w:trHeight w:val="762"/>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CB16B"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Yıllar</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2A3F1D48"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Toplam Getiri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52530A9A"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Karşılaştırma Ölçütünün Getirisi/Eşik Değer (%)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56CA9FAB"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proofErr w:type="spellStart"/>
            <w:r w:rsidRPr="00CB0656">
              <w:rPr>
                <w:rFonts w:ascii="Times New Roman" w:eastAsia="Times New Roman" w:hAnsi="Times New Roman" w:cs="Times New Roman"/>
                <w:b/>
                <w:bCs/>
                <w:color w:val="000000"/>
                <w:sz w:val="18"/>
                <w:szCs w:val="18"/>
                <w:lang w:eastAsia="tr-TR"/>
              </w:rPr>
              <w:t>Üfe</w:t>
            </w:r>
            <w:proofErr w:type="spellEnd"/>
            <w:r w:rsidRPr="00CB0656">
              <w:rPr>
                <w:rFonts w:ascii="Times New Roman" w:eastAsia="Times New Roman" w:hAnsi="Times New Roman" w:cs="Times New Roman"/>
                <w:b/>
                <w:bCs/>
                <w:color w:val="000000"/>
                <w:sz w:val="18"/>
                <w:szCs w:val="18"/>
                <w:lang w:eastAsia="tr-TR"/>
              </w:rPr>
              <w:t xml:space="preserve"> Enflasyon Oranı (%)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65C4846" w14:textId="77777777" w:rsidR="00CB0656" w:rsidRPr="00CB0656" w:rsidRDefault="00CB0656" w:rsidP="00CB0656">
            <w:pPr>
              <w:spacing w:after="0" w:line="240" w:lineRule="auto"/>
              <w:jc w:val="center"/>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Portföyün Zaman İçinde Standart Sapması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0D4D8784"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Karşılaştırma Ölçütünün Standart Sapması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2547D82"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Bilgi Rasyosu</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2E5FEB06" w14:textId="77777777" w:rsidR="00CB0656" w:rsidRPr="00CB0656" w:rsidRDefault="00CB0656" w:rsidP="00CB0656">
            <w:pPr>
              <w:spacing w:after="0" w:line="240" w:lineRule="auto"/>
              <w:jc w:val="center"/>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Sunuma Dahil Dönem Sonu Portföyün Toplam Değeri</w:t>
            </w:r>
          </w:p>
        </w:tc>
      </w:tr>
      <w:tr w:rsidR="00CB0656" w:rsidRPr="00CB0656" w14:paraId="4F3FA257" w14:textId="77777777" w:rsidTr="00CB0656">
        <w:trPr>
          <w:trHeight w:val="226"/>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070D637E"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2022</w:t>
            </w:r>
          </w:p>
        </w:tc>
        <w:tc>
          <w:tcPr>
            <w:tcW w:w="787" w:type="dxa"/>
            <w:tcBorders>
              <w:top w:val="nil"/>
              <w:left w:val="nil"/>
              <w:bottom w:val="single" w:sz="4" w:space="0" w:color="auto"/>
              <w:right w:val="single" w:sz="4" w:space="0" w:color="auto"/>
            </w:tcBorders>
            <w:shd w:val="clear" w:color="auto" w:fill="auto"/>
            <w:noWrap/>
            <w:vAlign w:val="center"/>
            <w:hideMark/>
          </w:tcPr>
          <w:p w14:paraId="27AE9D7C"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1.602,30 </w:t>
            </w:r>
          </w:p>
        </w:tc>
        <w:tc>
          <w:tcPr>
            <w:tcW w:w="1202" w:type="dxa"/>
            <w:tcBorders>
              <w:top w:val="nil"/>
              <w:left w:val="nil"/>
              <w:bottom w:val="single" w:sz="4" w:space="0" w:color="auto"/>
              <w:right w:val="single" w:sz="4" w:space="0" w:color="auto"/>
            </w:tcBorders>
            <w:shd w:val="clear" w:color="auto" w:fill="auto"/>
            <w:noWrap/>
            <w:vAlign w:val="center"/>
            <w:hideMark/>
          </w:tcPr>
          <w:p w14:paraId="70DC672D"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16,52 </w:t>
            </w:r>
          </w:p>
        </w:tc>
        <w:tc>
          <w:tcPr>
            <w:tcW w:w="1706" w:type="dxa"/>
            <w:tcBorders>
              <w:top w:val="nil"/>
              <w:left w:val="nil"/>
              <w:bottom w:val="single" w:sz="4" w:space="0" w:color="auto"/>
              <w:right w:val="single" w:sz="4" w:space="0" w:color="auto"/>
            </w:tcBorders>
            <w:shd w:val="clear" w:color="auto" w:fill="auto"/>
            <w:noWrap/>
            <w:vAlign w:val="center"/>
            <w:hideMark/>
          </w:tcPr>
          <w:p w14:paraId="526F0DFA"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79,02</w:t>
            </w:r>
          </w:p>
        </w:tc>
        <w:tc>
          <w:tcPr>
            <w:tcW w:w="1296" w:type="dxa"/>
            <w:tcBorders>
              <w:top w:val="nil"/>
              <w:left w:val="nil"/>
              <w:bottom w:val="single" w:sz="4" w:space="0" w:color="auto"/>
              <w:right w:val="single" w:sz="4" w:space="0" w:color="auto"/>
            </w:tcBorders>
            <w:shd w:val="clear" w:color="auto" w:fill="auto"/>
            <w:noWrap/>
            <w:vAlign w:val="center"/>
            <w:hideMark/>
          </w:tcPr>
          <w:p w14:paraId="09780791"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4,08</w:t>
            </w:r>
          </w:p>
        </w:tc>
        <w:tc>
          <w:tcPr>
            <w:tcW w:w="1202" w:type="dxa"/>
            <w:tcBorders>
              <w:top w:val="nil"/>
              <w:left w:val="nil"/>
              <w:bottom w:val="single" w:sz="4" w:space="0" w:color="auto"/>
              <w:right w:val="single" w:sz="4" w:space="0" w:color="auto"/>
            </w:tcBorders>
            <w:shd w:val="clear" w:color="auto" w:fill="auto"/>
            <w:vAlign w:val="center"/>
            <w:hideMark/>
          </w:tcPr>
          <w:p w14:paraId="5CC6EDB0"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0,04</w:t>
            </w:r>
          </w:p>
        </w:tc>
        <w:tc>
          <w:tcPr>
            <w:tcW w:w="1073" w:type="dxa"/>
            <w:tcBorders>
              <w:top w:val="nil"/>
              <w:left w:val="nil"/>
              <w:bottom w:val="single" w:sz="4" w:space="0" w:color="auto"/>
              <w:right w:val="single" w:sz="4" w:space="0" w:color="auto"/>
            </w:tcBorders>
            <w:shd w:val="clear" w:color="auto" w:fill="auto"/>
            <w:noWrap/>
            <w:vAlign w:val="center"/>
            <w:hideMark/>
          </w:tcPr>
          <w:p w14:paraId="569952A0"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1,16</w:t>
            </w:r>
          </w:p>
        </w:tc>
        <w:tc>
          <w:tcPr>
            <w:tcW w:w="1257" w:type="dxa"/>
            <w:tcBorders>
              <w:top w:val="nil"/>
              <w:left w:val="nil"/>
              <w:bottom w:val="single" w:sz="4" w:space="0" w:color="auto"/>
              <w:right w:val="single" w:sz="4" w:space="0" w:color="auto"/>
            </w:tcBorders>
            <w:shd w:val="clear" w:color="auto" w:fill="auto"/>
            <w:noWrap/>
            <w:vAlign w:val="center"/>
            <w:hideMark/>
          </w:tcPr>
          <w:p w14:paraId="5303AE39"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319.198.123.29 </w:t>
            </w:r>
          </w:p>
        </w:tc>
      </w:tr>
      <w:tr w:rsidR="00CB0656" w:rsidRPr="00CB0656" w14:paraId="5C88463D" w14:textId="77777777" w:rsidTr="00CB0656">
        <w:trPr>
          <w:trHeight w:val="226"/>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743B115" w14:textId="77777777"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2023</w:t>
            </w:r>
          </w:p>
        </w:tc>
        <w:tc>
          <w:tcPr>
            <w:tcW w:w="787" w:type="dxa"/>
            <w:tcBorders>
              <w:top w:val="nil"/>
              <w:left w:val="nil"/>
              <w:bottom w:val="single" w:sz="4" w:space="0" w:color="auto"/>
              <w:right w:val="single" w:sz="4" w:space="0" w:color="auto"/>
            </w:tcBorders>
            <w:shd w:val="clear" w:color="auto" w:fill="auto"/>
            <w:noWrap/>
            <w:vAlign w:val="center"/>
            <w:hideMark/>
          </w:tcPr>
          <w:p w14:paraId="5AED456C"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56,59 </w:t>
            </w:r>
          </w:p>
        </w:tc>
        <w:tc>
          <w:tcPr>
            <w:tcW w:w="1202" w:type="dxa"/>
            <w:tcBorders>
              <w:top w:val="nil"/>
              <w:left w:val="nil"/>
              <w:bottom w:val="single" w:sz="4" w:space="0" w:color="auto"/>
              <w:right w:val="single" w:sz="4" w:space="0" w:color="auto"/>
            </w:tcBorders>
            <w:shd w:val="clear" w:color="auto" w:fill="auto"/>
            <w:noWrap/>
            <w:vAlign w:val="center"/>
            <w:hideMark/>
          </w:tcPr>
          <w:p w14:paraId="5B8D356C"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44,15 </w:t>
            </w:r>
          </w:p>
        </w:tc>
        <w:tc>
          <w:tcPr>
            <w:tcW w:w="1706" w:type="dxa"/>
            <w:tcBorders>
              <w:top w:val="nil"/>
              <w:left w:val="nil"/>
              <w:bottom w:val="single" w:sz="4" w:space="0" w:color="auto"/>
              <w:right w:val="single" w:sz="4" w:space="0" w:color="auto"/>
            </w:tcBorders>
            <w:shd w:val="clear" w:color="auto" w:fill="auto"/>
            <w:noWrap/>
            <w:vAlign w:val="center"/>
            <w:hideMark/>
          </w:tcPr>
          <w:p w14:paraId="53474D5F"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44,22</w:t>
            </w:r>
          </w:p>
        </w:tc>
        <w:tc>
          <w:tcPr>
            <w:tcW w:w="1296" w:type="dxa"/>
            <w:tcBorders>
              <w:top w:val="nil"/>
              <w:left w:val="nil"/>
              <w:bottom w:val="single" w:sz="4" w:space="0" w:color="auto"/>
              <w:right w:val="single" w:sz="4" w:space="0" w:color="auto"/>
            </w:tcBorders>
            <w:shd w:val="clear" w:color="auto" w:fill="auto"/>
            <w:noWrap/>
            <w:vAlign w:val="center"/>
            <w:hideMark/>
          </w:tcPr>
          <w:p w14:paraId="717006E2"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4,27</w:t>
            </w:r>
          </w:p>
        </w:tc>
        <w:tc>
          <w:tcPr>
            <w:tcW w:w="1202" w:type="dxa"/>
            <w:tcBorders>
              <w:top w:val="nil"/>
              <w:left w:val="nil"/>
              <w:bottom w:val="single" w:sz="4" w:space="0" w:color="auto"/>
              <w:right w:val="single" w:sz="4" w:space="0" w:color="auto"/>
            </w:tcBorders>
            <w:shd w:val="clear" w:color="auto" w:fill="auto"/>
            <w:vAlign w:val="center"/>
            <w:hideMark/>
          </w:tcPr>
          <w:p w14:paraId="71C4EFFA"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2,16</w:t>
            </w:r>
          </w:p>
        </w:tc>
        <w:tc>
          <w:tcPr>
            <w:tcW w:w="1073" w:type="dxa"/>
            <w:tcBorders>
              <w:top w:val="nil"/>
              <w:left w:val="nil"/>
              <w:bottom w:val="single" w:sz="4" w:space="0" w:color="auto"/>
              <w:right w:val="single" w:sz="4" w:space="0" w:color="auto"/>
            </w:tcBorders>
            <w:shd w:val="clear" w:color="auto" w:fill="auto"/>
            <w:noWrap/>
            <w:vAlign w:val="center"/>
            <w:hideMark/>
          </w:tcPr>
          <w:p w14:paraId="2B374EF8"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-0,40</w:t>
            </w:r>
          </w:p>
        </w:tc>
        <w:tc>
          <w:tcPr>
            <w:tcW w:w="1257" w:type="dxa"/>
            <w:tcBorders>
              <w:top w:val="nil"/>
              <w:left w:val="nil"/>
              <w:bottom w:val="single" w:sz="4" w:space="0" w:color="auto"/>
              <w:right w:val="single" w:sz="4" w:space="0" w:color="auto"/>
            </w:tcBorders>
            <w:shd w:val="clear" w:color="auto" w:fill="auto"/>
            <w:noWrap/>
            <w:vAlign w:val="center"/>
            <w:hideMark/>
          </w:tcPr>
          <w:p w14:paraId="03DD5165"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29.709.890,11 </w:t>
            </w:r>
          </w:p>
        </w:tc>
      </w:tr>
      <w:tr w:rsidR="00CB0656" w:rsidRPr="00CB0656" w14:paraId="09426F89" w14:textId="77777777" w:rsidTr="00CB0656">
        <w:trPr>
          <w:trHeight w:val="238"/>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2FB74FD" w14:textId="3C53DB09" w:rsidR="00CB0656" w:rsidRPr="00CB0656" w:rsidRDefault="00CB0656" w:rsidP="00CB0656">
            <w:pPr>
              <w:spacing w:after="0" w:line="240" w:lineRule="auto"/>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87" w:type="dxa"/>
            <w:tcBorders>
              <w:top w:val="nil"/>
              <w:left w:val="nil"/>
              <w:bottom w:val="single" w:sz="4" w:space="0" w:color="auto"/>
              <w:right w:val="single" w:sz="4" w:space="0" w:color="auto"/>
            </w:tcBorders>
            <w:shd w:val="clear" w:color="auto" w:fill="auto"/>
            <w:noWrap/>
            <w:vAlign w:val="center"/>
            <w:hideMark/>
          </w:tcPr>
          <w:p w14:paraId="33C3FE27"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285,67 </w:t>
            </w:r>
          </w:p>
        </w:tc>
        <w:tc>
          <w:tcPr>
            <w:tcW w:w="1202" w:type="dxa"/>
            <w:tcBorders>
              <w:top w:val="nil"/>
              <w:left w:val="nil"/>
              <w:bottom w:val="single" w:sz="4" w:space="0" w:color="auto"/>
              <w:right w:val="single" w:sz="4" w:space="0" w:color="auto"/>
            </w:tcBorders>
            <w:shd w:val="clear" w:color="auto" w:fill="auto"/>
            <w:noWrap/>
            <w:vAlign w:val="center"/>
            <w:hideMark/>
          </w:tcPr>
          <w:p w14:paraId="00F9FBE8"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44,89 </w:t>
            </w:r>
          </w:p>
        </w:tc>
        <w:tc>
          <w:tcPr>
            <w:tcW w:w="1706" w:type="dxa"/>
            <w:tcBorders>
              <w:top w:val="nil"/>
              <w:left w:val="nil"/>
              <w:bottom w:val="single" w:sz="4" w:space="0" w:color="auto"/>
              <w:right w:val="single" w:sz="4" w:space="0" w:color="auto"/>
            </w:tcBorders>
            <w:shd w:val="clear" w:color="auto" w:fill="auto"/>
            <w:noWrap/>
            <w:vAlign w:val="center"/>
            <w:hideMark/>
          </w:tcPr>
          <w:p w14:paraId="1141AFAD"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19,49</w:t>
            </w:r>
          </w:p>
        </w:tc>
        <w:tc>
          <w:tcPr>
            <w:tcW w:w="1296" w:type="dxa"/>
            <w:tcBorders>
              <w:top w:val="nil"/>
              <w:left w:val="nil"/>
              <w:bottom w:val="single" w:sz="4" w:space="0" w:color="auto"/>
              <w:right w:val="single" w:sz="4" w:space="0" w:color="auto"/>
            </w:tcBorders>
            <w:shd w:val="clear" w:color="auto" w:fill="auto"/>
            <w:noWrap/>
            <w:vAlign w:val="center"/>
            <w:hideMark/>
          </w:tcPr>
          <w:p w14:paraId="1FFD42C3"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2,97</w:t>
            </w:r>
          </w:p>
        </w:tc>
        <w:tc>
          <w:tcPr>
            <w:tcW w:w="1202" w:type="dxa"/>
            <w:tcBorders>
              <w:top w:val="nil"/>
              <w:left w:val="nil"/>
              <w:bottom w:val="single" w:sz="4" w:space="0" w:color="auto"/>
              <w:right w:val="single" w:sz="4" w:space="0" w:color="auto"/>
            </w:tcBorders>
            <w:shd w:val="clear" w:color="auto" w:fill="auto"/>
            <w:vAlign w:val="center"/>
            <w:hideMark/>
          </w:tcPr>
          <w:p w14:paraId="51F6F9AF"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1,35</w:t>
            </w:r>
          </w:p>
        </w:tc>
        <w:tc>
          <w:tcPr>
            <w:tcW w:w="1073" w:type="dxa"/>
            <w:tcBorders>
              <w:top w:val="nil"/>
              <w:left w:val="nil"/>
              <w:bottom w:val="single" w:sz="4" w:space="0" w:color="auto"/>
              <w:right w:val="single" w:sz="4" w:space="0" w:color="auto"/>
            </w:tcBorders>
            <w:shd w:val="clear" w:color="auto" w:fill="auto"/>
            <w:noWrap/>
            <w:vAlign w:val="center"/>
            <w:hideMark/>
          </w:tcPr>
          <w:p w14:paraId="0AD591AC"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0,86</w:t>
            </w:r>
          </w:p>
        </w:tc>
        <w:tc>
          <w:tcPr>
            <w:tcW w:w="1257" w:type="dxa"/>
            <w:tcBorders>
              <w:top w:val="nil"/>
              <w:left w:val="nil"/>
              <w:bottom w:val="single" w:sz="4" w:space="0" w:color="auto"/>
              <w:right w:val="single" w:sz="4" w:space="0" w:color="auto"/>
            </w:tcBorders>
            <w:shd w:val="clear" w:color="auto" w:fill="auto"/>
            <w:noWrap/>
            <w:vAlign w:val="center"/>
            <w:hideMark/>
          </w:tcPr>
          <w:p w14:paraId="3E421C3F" w14:textId="77777777" w:rsidR="00CB0656" w:rsidRPr="00CB0656" w:rsidRDefault="00CB0656" w:rsidP="00CB0656">
            <w:pPr>
              <w:spacing w:after="0" w:line="240" w:lineRule="auto"/>
              <w:jc w:val="right"/>
              <w:rPr>
                <w:rFonts w:ascii="Times New Roman" w:eastAsia="Times New Roman" w:hAnsi="Times New Roman" w:cs="Times New Roman"/>
                <w:b/>
                <w:bCs/>
                <w:color w:val="000000"/>
                <w:sz w:val="18"/>
                <w:szCs w:val="18"/>
                <w:lang w:eastAsia="tr-TR"/>
              </w:rPr>
            </w:pPr>
            <w:r w:rsidRPr="00CB0656">
              <w:rPr>
                <w:rFonts w:ascii="Times New Roman" w:eastAsia="Times New Roman" w:hAnsi="Times New Roman" w:cs="Times New Roman"/>
                <w:b/>
                <w:bCs/>
                <w:color w:val="000000"/>
                <w:sz w:val="18"/>
                <w:szCs w:val="18"/>
                <w:lang w:eastAsia="tr-TR"/>
              </w:rPr>
              <w:t xml:space="preserve">                18.361.924,12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5736FD33"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xml:space="preserve">: </w:t>
      </w:r>
      <w:proofErr w:type="gramStart"/>
      <w:r w:rsidR="00F8272B" w:rsidRPr="00F8272B">
        <w:rPr>
          <w:rFonts w:ascii="Times New Roman" w:hAnsi="Times New Roman" w:cs="Times New Roman"/>
          <w:sz w:val="24"/>
          <w:szCs w:val="24"/>
        </w:rPr>
        <w:t>%80</w:t>
      </w:r>
      <w:proofErr w:type="gramEnd"/>
      <w:r w:rsidR="00F8272B" w:rsidRPr="00F8272B">
        <w:rPr>
          <w:rFonts w:ascii="Times New Roman" w:hAnsi="Times New Roman" w:cs="Times New Roman"/>
          <w:sz w:val="24"/>
          <w:szCs w:val="24"/>
        </w:rPr>
        <w:t xml:space="preserve"> BIST 100 Getiri Endeksi + %20 BIST-KYD 1 Aylık Mevduat TL Endeksi</w:t>
      </w:r>
      <w:r>
        <w:rPr>
          <w:rFonts w:ascii="Times New Roman" w:hAnsi="Times New Roman" w:cs="Times New Roman"/>
          <w:sz w:val="24"/>
          <w:szCs w:val="24"/>
        </w:rPr>
        <w:t>’dir.</w:t>
      </w:r>
    </w:p>
    <w:p w14:paraId="74CD0119" w14:textId="686A84FF"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7655DB">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325F3F44"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Fon’un kurulduğu </w:t>
      </w:r>
      <w:r w:rsidR="003C24E1">
        <w:rPr>
          <w:rFonts w:ascii="Times New Roman" w:hAnsi="Times New Roman" w:cs="Times New Roman"/>
          <w:sz w:val="24"/>
          <w:szCs w:val="24"/>
        </w:rPr>
        <w:t>01.01.202</w:t>
      </w:r>
      <w:r w:rsidR="00546ADE">
        <w:rPr>
          <w:rFonts w:ascii="Times New Roman" w:hAnsi="Times New Roman" w:cs="Times New Roman"/>
          <w:sz w:val="24"/>
          <w:szCs w:val="24"/>
        </w:rPr>
        <w:t>4</w:t>
      </w:r>
      <w:r w:rsidR="007655DB">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7836E8">
        <w:rPr>
          <w:rFonts w:ascii="Times New Roman" w:hAnsi="Times New Roman" w:cs="Times New Roman"/>
          <w:sz w:val="24"/>
          <w:szCs w:val="24"/>
        </w:rPr>
        <w:t>3</w:t>
      </w:r>
      <w:r w:rsidR="002F05F2">
        <w:rPr>
          <w:rFonts w:ascii="Times New Roman" w:hAnsi="Times New Roman" w:cs="Times New Roman"/>
          <w:sz w:val="24"/>
          <w:szCs w:val="24"/>
        </w:rPr>
        <w:t>0</w:t>
      </w:r>
      <w:r w:rsidR="007836E8">
        <w:rPr>
          <w:rFonts w:ascii="Times New Roman" w:hAnsi="Times New Roman" w:cs="Times New Roman"/>
          <w:sz w:val="24"/>
          <w:szCs w:val="24"/>
        </w:rPr>
        <w:t>.</w:t>
      </w:r>
      <w:r w:rsidR="002F05F2">
        <w:rPr>
          <w:rFonts w:ascii="Times New Roman" w:hAnsi="Times New Roman" w:cs="Times New Roman"/>
          <w:sz w:val="24"/>
          <w:szCs w:val="24"/>
        </w:rPr>
        <w:t>06</w:t>
      </w:r>
      <w:r w:rsidR="003C24E1">
        <w:rPr>
          <w:rFonts w:ascii="Times New Roman" w:hAnsi="Times New Roman" w:cs="Times New Roman"/>
          <w:sz w:val="24"/>
          <w:szCs w:val="24"/>
        </w:rPr>
        <w:t>.202</w:t>
      </w:r>
      <w:r w:rsidR="002F05F2">
        <w:rPr>
          <w:rFonts w:ascii="Times New Roman" w:hAnsi="Times New Roman" w:cs="Times New Roman"/>
          <w:sz w:val="24"/>
          <w:szCs w:val="24"/>
        </w:rPr>
        <w:t>4</w:t>
      </w:r>
      <w:r w:rsidR="007655DB">
        <w:rPr>
          <w:rFonts w:ascii="Times New Roman" w:hAnsi="Times New Roman" w:cs="Times New Roman"/>
          <w:sz w:val="24"/>
          <w:szCs w:val="24"/>
        </w:rPr>
        <w:t xml:space="preserve"> </w:t>
      </w:r>
      <w:r>
        <w:rPr>
          <w:rFonts w:ascii="Times New Roman" w:hAnsi="Times New Roman" w:cs="Times New Roman"/>
          <w:sz w:val="24"/>
          <w:szCs w:val="24"/>
        </w:rPr>
        <w:t>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2B93F079" w14:textId="657D2188" w:rsidR="00CE6762" w:rsidRDefault="00CE6762" w:rsidP="0097465C">
      <w:pPr>
        <w:spacing w:after="0"/>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756AC842" w14:textId="517D37A7" w:rsidR="00B268DB" w:rsidRDefault="00996AF1" w:rsidP="00B268DB">
      <w:pPr>
        <w:pStyle w:val="ListeParagraf"/>
        <w:numPr>
          <w:ilvl w:val="0"/>
          <w:numId w:val="3"/>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66213AFA"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proofErr w:type="gramStart"/>
      <w:r w:rsidR="005A19EC">
        <w:rPr>
          <w:rFonts w:ascii="Times New Roman" w:hAnsi="Times New Roman" w:cs="Times New Roman"/>
          <w:sz w:val="24"/>
          <w:szCs w:val="24"/>
        </w:rPr>
        <w:t>%</w:t>
      </w:r>
      <w:r w:rsidR="00516F06">
        <w:rPr>
          <w:rFonts w:ascii="Times New Roman" w:hAnsi="Times New Roman" w:cs="Times New Roman"/>
          <w:sz w:val="24"/>
          <w:szCs w:val="24"/>
        </w:rPr>
        <w:t xml:space="preserve"> 285,67</w:t>
      </w:r>
      <w:proofErr w:type="gramEnd"/>
      <w:r w:rsidR="00B0061A">
        <w:rPr>
          <w:rFonts w:ascii="Times New Roman" w:hAnsi="Times New Roman" w:cs="Times New Roman"/>
          <w:sz w:val="24"/>
          <w:szCs w:val="24"/>
        </w:rPr>
        <w:t xml:space="preserve"> </w:t>
      </w:r>
      <w:r w:rsidR="00237C1F">
        <w:rPr>
          <w:rFonts w:ascii="Times New Roman" w:hAnsi="Times New Roman" w:cs="Times New Roman"/>
          <w:sz w:val="24"/>
          <w:szCs w:val="24"/>
        </w:rPr>
        <w:t>k</w:t>
      </w:r>
      <w:r w:rsidR="00ED76F3">
        <w:rPr>
          <w:rFonts w:ascii="Times New Roman" w:hAnsi="Times New Roman" w:cs="Times New Roman"/>
          <w:sz w:val="24"/>
          <w:szCs w:val="24"/>
        </w:rPr>
        <w:t>ar 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1C4DBF7C" w14:textId="77777777" w:rsidR="00F41CB6" w:rsidRPr="00CE6762" w:rsidRDefault="00F41CB6" w:rsidP="00CE6762">
      <w:pPr>
        <w:spacing w:after="0"/>
        <w:ind w:left="360"/>
        <w:rPr>
          <w:rFonts w:ascii="Times New Roman" w:hAnsi="Times New Roman" w:cs="Times New Roman"/>
        </w:rPr>
      </w:pPr>
      <w:r>
        <w:rPr>
          <w:rFonts w:ascii="Times New Roman" w:hAnsi="Times New Roman" w:cs="Times New Roman"/>
          <w:sz w:val="24"/>
          <w:szCs w:val="24"/>
        </w:rPr>
        <w:t xml:space="preserve">   </w:t>
      </w:r>
      <w:r w:rsidR="00CC7520" w:rsidRPr="00CE6762">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8380" w:type="dxa"/>
        <w:tblInd w:w="701" w:type="dxa"/>
        <w:tblCellMar>
          <w:left w:w="70" w:type="dxa"/>
          <w:right w:w="70" w:type="dxa"/>
        </w:tblCellMar>
        <w:tblLook w:val="04A0" w:firstRow="1" w:lastRow="0" w:firstColumn="1" w:lastColumn="0" w:noHBand="0" w:noVBand="1"/>
      </w:tblPr>
      <w:tblGrid>
        <w:gridCol w:w="3430"/>
        <w:gridCol w:w="2249"/>
        <w:gridCol w:w="2701"/>
      </w:tblGrid>
      <w:tr w:rsidR="00F41CB6" w:rsidRPr="00F41CB6" w14:paraId="5EE318F0" w14:textId="77777777" w:rsidTr="00F41CB6">
        <w:trPr>
          <w:trHeight w:val="630"/>
        </w:trPr>
        <w:tc>
          <w:tcPr>
            <w:tcW w:w="343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B7ACF2"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Dönem Faaliyet Giderleri Dağılımı</w:t>
            </w:r>
          </w:p>
        </w:tc>
        <w:tc>
          <w:tcPr>
            <w:tcW w:w="2249" w:type="dxa"/>
            <w:tcBorders>
              <w:top w:val="single" w:sz="8" w:space="0" w:color="auto"/>
              <w:left w:val="nil"/>
              <w:bottom w:val="single" w:sz="4" w:space="0" w:color="auto"/>
              <w:right w:val="single" w:sz="4" w:space="0" w:color="auto"/>
            </w:tcBorders>
            <w:shd w:val="clear" w:color="auto" w:fill="auto"/>
            <w:vAlign w:val="center"/>
            <w:hideMark/>
          </w:tcPr>
          <w:p w14:paraId="3A72A2E5"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Portföy Değerine Oranı (%)</w:t>
            </w:r>
          </w:p>
        </w:tc>
        <w:tc>
          <w:tcPr>
            <w:tcW w:w="2701" w:type="dxa"/>
            <w:tcBorders>
              <w:top w:val="single" w:sz="8" w:space="0" w:color="auto"/>
              <w:left w:val="nil"/>
              <w:bottom w:val="single" w:sz="4" w:space="0" w:color="auto"/>
              <w:right w:val="single" w:sz="8" w:space="0" w:color="auto"/>
            </w:tcBorders>
            <w:shd w:val="clear" w:color="auto" w:fill="auto"/>
            <w:vAlign w:val="center"/>
            <w:hideMark/>
          </w:tcPr>
          <w:p w14:paraId="5AE00315"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Tutar (TL)</w:t>
            </w:r>
          </w:p>
        </w:tc>
      </w:tr>
      <w:tr w:rsidR="00F41CB6" w:rsidRPr="00F41CB6" w14:paraId="1B7FB1D9"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4940A6FF"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Yönetim Ücreti</w:t>
            </w:r>
          </w:p>
        </w:tc>
        <w:tc>
          <w:tcPr>
            <w:tcW w:w="2249" w:type="dxa"/>
            <w:tcBorders>
              <w:top w:val="nil"/>
              <w:left w:val="nil"/>
              <w:bottom w:val="single" w:sz="4" w:space="0" w:color="auto"/>
              <w:right w:val="single" w:sz="4" w:space="0" w:color="auto"/>
            </w:tcBorders>
            <w:shd w:val="clear" w:color="auto" w:fill="auto"/>
            <w:noWrap/>
            <w:vAlign w:val="bottom"/>
            <w:hideMark/>
          </w:tcPr>
          <w:p w14:paraId="50536F7C"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0.50</w:t>
            </w:r>
          </w:p>
        </w:tc>
        <w:tc>
          <w:tcPr>
            <w:tcW w:w="2701" w:type="dxa"/>
            <w:tcBorders>
              <w:top w:val="nil"/>
              <w:left w:val="nil"/>
              <w:bottom w:val="single" w:sz="4" w:space="0" w:color="auto"/>
              <w:right w:val="single" w:sz="8" w:space="0" w:color="auto"/>
            </w:tcBorders>
            <w:shd w:val="clear" w:color="auto" w:fill="auto"/>
            <w:noWrap/>
            <w:vAlign w:val="bottom"/>
            <w:hideMark/>
          </w:tcPr>
          <w:p w14:paraId="2BE8C2A3"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72,039.40</w:t>
            </w:r>
          </w:p>
        </w:tc>
      </w:tr>
      <w:tr w:rsidR="00F41CB6" w:rsidRPr="00F41CB6" w14:paraId="3182C539"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CD68204"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Komisyon ve Diğer İşlem Ücretleri</w:t>
            </w:r>
          </w:p>
        </w:tc>
        <w:tc>
          <w:tcPr>
            <w:tcW w:w="2249" w:type="dxa"/>
            <w:tcBorders>
              <w:top w:val="nil"/>
              <w:left w:val="nil"/>
              <w:bottom w:val="single" w:sz="4" w:space="0" w:color="auto"/>
              <w:right w:val="single" w:sz="4" w:space="0" w:color="auto"/>
            </w:tcBorders>
            <w:shd w:val="clear" w:color="auto" w:fill="auto"/>
            <w:noWrap/>
            <w:vAlign w:val="bottom"/>
            <w:hideMark/>
          </w:tcPr>
          <w:p w14:paraId="1C467F10"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1.55</w:t>
            </w:r>
          </w:p>
        </w:tc>
        <w:tc>
          <w:tcPr>
            <w:tcW w:w="2701" w:type="dxa"/>
            <w:tcBorders>
              <w:top w:val="nil"/>
              <w:left w:val="nil"/>
              <w:bottom w:val="single" w:sz="4" w:space="0" w:color="auto"/>
              <w:right w:val="single" w:sz="8" w:space="0" w:color="auto"/>
            </w:tcBorders>
            <w:shd w:val="clear" w:color="auto" w:fill="auto"/>
            <w:noWrap/>
            <w:vAlign w:val="bottom"/>
            <w:hideMark/>
          </w:tcPr>
          <w:p w14:paraId="578557B6"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224,841.80</w:t>
            </w:r>
          </w:p>
        </w:tc>
      </w:tr>
      <w:tr w:rsidR="00F41CB6" w:rsidRPr="00F41CB6" w14:paraId="027AD0C6"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0D4E8F6"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Saklama Ücreti</w:t>
            </w:r>
          </w:p>
        </w:tc>
        <w:tc>
          <w:tcPr>
            <w:tcW w:w="2249" w:type="dxa"/>
            <w:tcBorders>
              <w:top w:val="nil"/>
              <w:left w:val="nil"/>
              <w:bottom w:val="single" w:sz="4" w:space="0" w:color="auto"/>
              <w:right w:val="single" w:sz="4" w:space="0" w:color="auto"/>
            </w:tcBorders>
            <w:shd w:val="clear" w:color="auto" w:fill="auto"/>
            <w:noWrap/>
            <w:vAlign w:val="bottom"/>
            <w:hideMark/>
          </w:tcPr>
          <w:p w14:paraId="02F9E343"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0.54</w:t>
            </w:r>
          </w:p>
        </w:tc>
        <w:tc>
          <w:tcPr>
            <w:tcW w:w="2701" w:type="dxa"/>
            <w:tcBorders>
              <w:top w:val="nil"/>
              <w:left w:val="nil"/>
              <w:bottom w:val="single" w:sz="4" w:space="0" w:color="auto"/>
              <w:right w:val="single" w:sz="8" w:space="0" w:color="auto"/>
            </w:tcBorders>
            <w:shd w:val="clear" w:color="auto" w:fill="auto"/>
            <w:noWrap/>
            <w:vAlign w:val="bottom"/>
            <w:hideMark/>
          </w:tcPr>
          <w:p w14:paraId="4790362A"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78,108.65</w:t>
            </w:r>
          </w:p>
        </w:tc>
      </w:tr>
      <w:tr w:rsidR="00F41CB6" w:rsidRPr="00F41CB6" w14:paraId="5CEAA019"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3CA7E930"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Kurul Ücretleri</w:t>
            </w:r>
          </w:p>
        </w:tc>
        <w:tc>
          <w:tcPr>
            <w:tcW w:w="2249" w:type="dxa"/>
            <w:tcBorders>
              <w:top w:val="nil"/>
              <w:left w:val="nil"/>
              <w:bottom w:val="single" w:sz="4" w:space="0" w:color="auto"/>
              <w:right w:val="single" w:sz="4" w:space="0" w:color="auto"/>
            </w:tcBorders>
            <w:shd w:val="clear" w:color="auto" w:fill="auto"/>
            <w:noWrap/>
            <w:vAlign w:val="bottom"/>
            <w:hideMark/>
          </w:tcPr>
          <w:p w14:paraId="10A9A531"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0.01</w:t>
            </w:r>
          </w:p>
        </w:tc>
        <w:tc>
          <w:tcPr>
            <w:tcW w:w="2701" w:type="dxa"/>
            <w:tcBorders>
              <w:top w:val="nil"/>
              <w:left w:val="nil"/>
              <w:bottom w:val="single" w:sz="4" w:space="0" w:color="auto"/>
              <w:right w:val="single" w:sz="8" w:space="0" w:color="auto"/>
            </w:tcBorders>
            <w:shd w:val="clear" w:color="auto" w:fill="auto"/>
            <w:noWrap/>
            <w:vAlign w:val="bottom"/>
            <w:hideMark/>
          </w:tcPr>
          <w:p w14:paraId="57330F9B"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1,306.33</w:t>
            </w:r>
          </w:p>
        </w:tc>
      </w:tr>
      <w:tr w:rsidR="00F41CB6" w:rsidRPr="00F41CB6" w14:paraId="7F2514AB"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300CC36A"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Bağımsız Denetim Ücreti</w:t>
            </w:r>
          </w:p>
        </w:tc>
        <w:tc>
          <w:tcPr>
            <w:tcW w:w="2249" w:type="dxa"/>
            <w:tcBorders>
              <w:top w:val="nil"/>
              <w:left w:val="nil"/>
              <w:bottom w:val="single" w:sz="4" w:space="0" w:color="auto"/>
              <w:right w:val="single" w:sz="4" w:space="0" w:color="auto"/>
            </w:tcBorders>
            <w:shd w:val="clear" w:color="auto" w:fill="auto"/>
            <w:noWrap/>
            <w:vAlign w:val="bottom"/>
            <w:hideMark/>
          </w:tcPr>
          <w:p w14:paraId="74B1754C"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0.07</w:t>
            </w:r>
          </w:p>
        </w:tc>
        <w:tc>
          <w:tcPr>
            <w:tcW w:w="2701" w:type="dxa"/>
            <w:tcBorders>
              <w:top w:val="nil"/>
              <w:left w:val="nil"/>
              <w:bottom w:val="single" w:sz="4" w:space="0" w:color="auto"/>
              <w:right w:val="single" w:sz="8" w:space="0" w:color="auto"/>
            </w:tcBorders>
            <w:shd w:val="clear" w:color="auto" w:fill="auto"/>
            <w:noWrap/>
            <w:vAlign w:val="bottom"/>
            <w:hideMark/>
          </w:tcPr>
          <w:p w14:paraId="56EDE2DD"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10,584.88</w:t>
            </w:r>
          </w:p>
        </w:tc>
      </w:tr>
      <w:tr w:rsidR="00F41CB6" w:rsidRPr="00F41CB6" w14:paraId="0D3F955F" w14:textId="77777777" w:rsidTr="00F41CB6">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4C96E2E6"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Diğer Giderler</w:t>
            </w:r>
          </w:p>
        </w:tc>
        <w:tc>
          <w:tcPr>
            <w:tcW w:w="2249" w:type="dxa"/>
            <w:tcBorders>
              <w:top w:val="nil"/>
              <w:left w:val="nil"/>
              <w:bottom w:val="single" w:sz="4" w:space="0" w:color="auto"/>
              <w:right w:val="single" w:sz="4" w:space="0" w:color="auto"/>
            </w:tcBorders>
            <w:shd w:val="clear" w:color="auto" w:fill="auto"/>
            <w:noWrap/>
            <w:vAlign w:val="bottom"/>
            <w:hideMark/>
          </w:tcPr>
          <w:p w14:paraId="538B7848"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0.24</w:t>
            </w:r>
          </w:p>
        </w:tc>
        <w:tc>
          <w:tcPr>
            <w:tcW w:w="2701" w:type="dxa"/>
            <w:tcBorders>
              <w:top w:val="nil"/>
              <w:left w:val="nil"/>
              <w:bottom w:val="single" w:sz="4" w:space="0" w:color="auto"/>
              <w:right w:val="single" w:sz="8" w:space="0" w:color="auto"/>
            </w:tcBorders>
            <w:shd w:val="clear" w:color="auto" w:fill="auto"/>
            <w:noWrap/>
            <w:vAlign w:val="bottom"/>
            <w:hideMark/>
          </w:tcPr>
          <w:p w14:paraId="28923D1F"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34,269.40</w:t>
            </w:r>
          </w:p>
        </w:tc>
      </w:tr>
      <w:tr w:rsidR="00F41CB6" w:rsidRPr="00F41CB6" w14:paraId="151CAFD4" w14:textId="77777777" w:rsidTr="00F41CB6">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5B521F73" w14:textId="77777777" w:rsidR="00F41CB6" w:rsidRPr="00F41CB6" w:rsidRDefault="00F41CB6" w:rsidP="00F41CB6">
            <w:pPr>
              <w:spacing w:after="0" w:line="240" w:lineRule="auto"/>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Toplam</w:t>
            </w:r>
          </w:p>
        </w:tc>
        <w:tc>
          <w:tcPr>
            <w:tcW w:w="2249" w:type="dxa"/>
            <w:tcBorders>
              <w:top w:val="nil"/>
              <w:left w:val="nil"/>
              <w:bottom w:val="single" w:sz="8" w:space="0" w:color="auto"/>
              <w:right w:val="single" w:sz="4" w:space="0" w:color="auto"/>
            </w:tcBorders>
            <w:shd w:val="clear" w:color="auto" w:fill="auto"/>
            <w:noWrap/>
            <w:vAlign w:val="bottom"/>
            <w:hideMark/>
          </w:tcPr>
          <w:p w14:paraId="788D529E"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2.90</w:t>
            </w:r>
          </w:p>
        </w:tc>
        <w:tc>
          <w:tcPr>
            <w:tcW w:w="2701" w:type="dxa"/>
            <w:tcBorders>
              <w:top w:val="nil"/>
              <w:left w:val="nil"/>
              <w:bottom w:val="single" w:sz="4" w:space="0" w:color="auto"/>
              <w:right w:val="single" w:sz="8" w:space="0" w:color="auto"/>
            </w:tcBorders>
            <w:shd w:val="clear" w:color="auto" w:fill="auto"/>
            <w:noWrap/>
            <w:vAlign w:val="bottom"/>
            <w:hideMark/>
          </w:tcPr>
          <w:p w14:paraId="60A7816A"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421,150.46</w:t>
            </w:r>
          </w:p>
        </w:tc>
      </w:tr>
      <w:tr w:rsidR="00F41CB6" w:rsidRPr="00F41CB6" w14:paraId="527CB20E" w14:textId="77777777" w:rsidTr="00F41CB6">
        <w:trPr>
          <w:trHeight w:val="330"/>
        </w:trPr>
        <w:tc>
          <w:tcPr>
            <w:tcW w:w="3430" w:type="dxa"/>
            <w:tcBorders>
              <w:top w:val="nil"/>
              <w:left w:val="nil"/>
              <w:bottom w:val="nil"/>
              <w:right w:val="nil"/>
            </w:tcBorders>
            <w:shd w:val="clear" w:color="auto" w:fill="auto"/>
            <w:noWrap/>
            <w:vAlign w:val="bottom"/>
            <w:hideMark/>
          </w:tcPr>
          <w:p w14:paraId="08921636"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p>
        </w:tc>
        <w:tc>
          <w:tcPr>
            <w:tcW w:w="2249" w:type="dxa"/>
            <w:tcBorders>
              <w:top w:val="nil"/>
              <w:left w:val="nil"/>
              <w:bottom w:val="nil"/>
              <w:right w:val="nil"/>
            </w:tcBorders>
            <w:shd w:val="clear" w:color="auto" w:fill="auto"/>
            <w:noWrap/>
            <w:vAlign w:val="bottom"/>
            <w:hideMark/>
          </w:tcPr>
          <w:p w14:paraId="676ABFF3" w14:textId="77777777" w:rsidR="00F41CB6" w:rsidRPr="00F41CB6" w:rsidRDefault="00F41CB6" w:rsidP="00F41CB6">
            <w:pPr>
              <w:spacing w:after="0" w:line="240" w:lineRule="auto"/>
              <w:rPr>
                <w:rFonts w:ascii="Times New Roman" w:eastAsia="Times New Roman" w:hAnsi="Times New Roman" w:cs="Times New Roman"/>
                <w:sz w:val="20"/>
                <w:szCs w:val="20"/>
                <w:lang w:eastAsia="tr-TR"/>
              </w:rPr>
            </w:pPr>
          </w:p>
        </w:tc>
        <w:tc>
          <w:tcPr>
            <w:tcW w:w="2701" w:type="dxa"/>
            <w:tcBorders>
              <w:top w:val="nil"/>
              <w:left w:val="nil"/>
              <w:bottom w:val="nil"/>
              <w:right w:val="nil"/>
            </w:tcBorders>
            <w:shd w:val="clear" w:color="auto" w:fill="auto"/>
            <w:noWrap/>
            <w:vAlign w:val="bottom"/>
            <w:hideMark/>
          </w:tcPr>
          <w:p w14:paraId="0552BF2C" w14:textId="77777777" w:rsidR="00F41CB6" w:rsidRPr="00F41CB6" w:rsidRDefault="00F41CB6" w:rsidP="00F41CB6">
            <w:pPr>
              <w:spacing w:after="0" w:line="240" w:lineRule="auto"/>
              <w:rPr>
                <w:rFonts w:ascii="Times New Roman" w:eastAsia="Times New Roman" w:hAnsi="Times New Roman" w:cs="Times New Roman"/>
                <w:sz w:val="20"/>
                <w:szCs w:val="20"/>
                <w:lang w:eastAsia="tr-TR"/>
              </w:rPr>
            </w:pPr>
          </w:p>
        </w:tc>
      </w:tr>
      <w:tr w:rsidR="00F41CB6" w:rsidRPr="00F41CB6" w14:paraId="4BC48046" w14:textId="77777777" w:rsidTr="00F41CB6">
        <w:trPr>
          <w:trHeight w:val="315"/>
        </w:trPr>
        <w:tc>
          <w:tcPr>
            <w:tcW w:w="83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4C7B056" w14:textId="77777777" w:rsidR="00F41CB6" w:rsidRPr="00F41CB6" w:rsidRDefault="00F41CB6" w:rsidP="00F41CB6">
            <w:pPr>
              <w:spacing w:after="0" w:line="240" w:lineRule="auto"/>
              <w:jc w:val="center"/>
              <w:rPr>
                <w:rFonts w:ascii="Times New Roman" w:eastAsia="Times New Roman" w:hAnsi="Times New Roman" w:cs="Times New Roman"/>
                <w:b/>
                <w:bCs/>
                <w:color w:val="000000"/>
                <w:sz w:val="24"/>
                <w:szCs w:val="24"/>
                <w:lang w:eastAsia="tr-TR"/>
              </w:rPr>
            </w:pPr>
            <w:r w:rsidRPr="00F41CB6">
              <w:rPr>
                <w:rFonts w:ascii="Times New Roman" w:eastAsia="Times New Roman" w:hAnsi="Times New Roman" w:cs="Times New Roman"/>
                <w:b/>
                <w:bCs/>
                <w:color w:val="000000"/>
                <w:sz w:val="24"/>
                <w:szCs w:val="24"/>
                <w:lang w:eastAsia="tr-TR"/>
              </w:rPr>
              <w:t xml:space="preserve">1 </w:t>
            </w:r>
            <w:proofErr w:type="gramStart"/>
            <w:r w:rsidRPr="00F41CB6">
              <w:rPr>
                <w:rFonts w:ascii="Times New Roman" w:eastAsia="Times New Roman" w:hAnsi="Times New Roman" w:cs="Times New Roman"/>
                <w:b/>
                <w:bCs/>
                <w:color w:val="000000"/>
                <w:sz w:val="24"/>
                <w:szCs w:val="24"/>
                <w:lang w:eastAsia="tr-TR"/>
              </w:rPr>
              <w:t>Ocak -</w:t>
            </w:r>
            <w:proofErr w:type="gramEnd"/>
            <w:r w:rsidRPr="00F41CB6">
              <w:rPr>
                <w:rFonts w:ascii="Times New Roman" w:eastAsia="Times New Roman" w:hAnsi="Times New Roman" w:cs="Times New Roman"/>
                <w:b/>
                <w:bCs/>
                <w:color w:val="000000"/>
                <w:sz w:val="24"/>
                <w:szCs w:val="24"/>
                <w:lang w:eastAsia="tr-TR"/>
              </w:rPr>
              <w:t xml:space="preserve"> 30 Haziran 2024</w:t>
            </w:r>
          </w:p>
        </w:tc>
      </w:tr>
      <w:tr w:rsidR="00F41CB6" w:rsidRPr="00F41CB6" w14:paraId="6848ABC1" w14:textId="77777777" w:rsidTr="00F41CB6">
        <w:trPr>
          <w:trHeight w:val="315"/>
        </w:trPr>
        <w:tc>
          <w:tcPr>
            <w:tcW w:w="567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79DDA3" w14:textId="77777777" w:rsidR="00F41CB6" w:rsidRPr="00F41CB6" w:rsidRDefault="00F41CB6" w:rsidP="00F41CB6">
            <w:pPr>
              <w:spacing w:after="0" w:line="240" w:lineRule="auto"/>
              <w:rPr>
                <w:rFonts w:ascii="Times New Roman" w:eastAsia="Times New Roman" w:hAnsi="Times New Roman" w:cs="Times New Roman"/>
                <w:sz w:val="24"/>
                <w:szCs w:val="24"/>
                <w:lang w:eastAsia="tr-TR"/>
              </w:rPr>
            </w:pPr>
            <w:r w:rsidRPr="00F41CB6">
              <w:rPr>
                <w:rFonts w:ascii="Times New Roman" w:eastAsia="Times New Roman" w:hAnsi="Times New Roman" w:cs="Times New Roman"/>
                <w:sz w:val="24"/>
                <w:szCs w:val="24"/>
                <w:lang w:eastAsia="tr-TR"/>
              </w:rPr>
              <w:t>Ortalama Fon Portföy Değeri</w:t>
            </w:r>
          </w:p>
        </w:tc>
        <w:tc>
          <w:tcPr>
            <w:tcW w:w="2701" w:type="dxa"/>
            <w:tcBorders>
              <w:top w:val="nil"/>
              <w:left w:val="nil"/>
              <w:bottom w:val="single" w:sz="4" w:space="0" w:color="auto"/>
              <w:right w:val="single" w:sz="8" w:space="0" w:color="auto"/>
            </w:tcBorders>
            <w:shd w:val="clear" w:color="auto" w:fill="auto"/>
            <w:noWrap/>
            <w:vAlign w:val="bottom"/>
            <w:hideMark/>
          </w:tcPr>
          <w:p w14:paraId="7A3898BE"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14,536,752.96</w:t>
            </w:r>
          </w:p>
        </w:tc>
      </w:tr>
      <w:tr w:rsidR="00F41CB6" w:rsidRPr="00F41CB6" w14:paraId="60A5F6B6" w14:textId="77777777" w:rsidTr="00F41CB6">
        <w:trPr>
          <w:trHeight w:val="315"/>
        </w:trPr>
        <w:tc>
          <w:tcPr>
            <w:tcW w:w="567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F1F955" w14:textId="77777777" w:rsidR="00F41CB6" w:rsidRPr="00F41CB6" w:rsidRDefault="00F41CB6" w:rsidP="00F41CB6">
            <w:pPr>
              <w:spacing w:after="0" w:line="240" w:lineRule="auto"/>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Toplam Faaliyet Giderleri</w:t>
            </w:r>
          </w:p>
        </w:tc>
        <w:tc>
          <w:tcPr>
            <w:tcW w:w="2701" w:type="dxa"/>
            <w:tcBorders>
              <w:top w:val="nil"/>
              <w:left w:val="nil"/>
              <w:bottom w:val="single" w:sz="4" w:space="0" w:color="auto"/>
              <w:right w:val="single" w:sz="8" w:space="0" w:color="auto"/>
            </w:tcBorders>
            <w:shd w:val="clear" w:color="auto" w:fill="auto"/>
            <w:noWrap/>
            <w:vAlign w:val="bottom"/>
            <w:hideMark/>
          </w:tcPr>
          <w:p w14:paraId="4BF71323" w14:textId="77777777" w:rsidR="00F41CB6" w:rsidRPr="00F41CB6" w:rsidRDefault="00F41CB6" w:rsidP="00F41CB6">
            <w:pPr>
              <w:spacing w:after="0" w:line="240" w:lineRule="auto"/>
              <w:jc w:val="center"/>
              <w:rPr>
                <w:rFonts w:ascii="Times New Roman" w:eastAsia="Times New Roman" w:hAnsi="Times New Roman" w:cs="Times New Roman"/>
                <w:color w:val="000000"/>
                <w:sz w:val="24"/>
                <w:szCs w:val="24"/>
                <w:lang w:eastAsia="tr-TR"/>
              </w:rPr>
            </w:pPr>
            <w:r w:rsidRPr="00F41CB6">
              <w:rPr>
                <w:rFonts w:ascii="Times New Roman" w:eastAsia="Times New Roman" w:hAnsi="Times New Roman" w:cs="Times New Roman"/>
                <w:color w:val="000000"/>
                <w:sz w:val="24"/>
                <w:szCs w:val="24"/>
                <w:lang w:eastAsia="tr-TR"/>
              </w:rPr>
              <w:t>421,150.46</w:t>
            </w:r>
          </w:p>
        </w:tc>
      </w:tr>
      <w:tr w:rsidR="00F41CB6" w:rsidRPr="00F41CB6" w14:paraId="2DEF3173" w14:textId="77777777" w:rsidTr="00F41CB6">
        <w:trPr>
          <w:trHeight w:val="330"/>
        </w:trPr>
        <w:tc>
          <w:tcPr>
            <w:tcW w:w="567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9F68B84" w14:textId="77777777" w:rsidR="00F41CB6" w:rsidRPr="00F41CB6" w:rsidRDefault="00F41CB6" w:rsidP="00F41CB6">
            <w:pPr>
              <w:spacing w:after="0" w:line="240" w:lineRule="auto"/>
              <w:rPr>
                <w:rFonts w:ascii="Times New Roman" w:eastAsia="Times New Roman" w:hAnsi="Times New Roman" w:cs="Times New Roman"/>
                <w:sz w:val="24"/>
                <w:szCs w:val="24"/>
                <w:lang w:eastAsia="tr-TR"/>
              </w:rPr>
            </w:pPr>
            <w:r w:rsidRPr="00F41CB6">
              <w:rPr>
                <w:rFonts w:ascii="Times New Roman" w:eastAsia="Times New Roman" w:hAnsi="Times New Roman" w:cs="Times New Roman"/>
                <w:sz w:val="24"/>
                <w:szCs w:val="24"/>
                <w:lang w:eastAsia="tr-TR"/>
              </w:rPr>
              <w:t>Toplam Faaliyet Giderleri / Ortalama Portföy Değeri (%)</w:t>
            </w:r>
          </w:p>
        </w:tc>
        <w:tc>
          <w:tcPr>
            <w:tcW w:w="2701" w:type="dxa"/>
            <w:tcBorders>
              <w:top w:val="nil"/>
              <w:left w:val="nil"/>
              <w:bottom w:val="single" w:sz="8" w:space="0" w:color="auto"/>
              <w:right w:val="single" w:sz="8" w:space="0" w:color="auto"/>
            </w:tcBorders>
            <w:shd w:val="clear" w:color="auto" w:fill="auto"/>
            <w:noWrap/>
            <w:vAlign w:val="bottom"/>
            <w:hideMark/>
          </w:tcPr>
          <w:p w14:paraId="62533A44" w14:textId="77777777" w:rsidR="00F41CB6" w:rsidRPr="00F41CB6" w:rsidRDefault="00F41CB6" w:rsidP="00F41CB6">
            <w:pPr>
              <w:spacing w:after="0" w:line="240" w:lineRule="auto"/>
              <w:jc w:val="center"/>
              <w:rPr>
                <w:rFonts w:ascii="Times New Roman" w:eastAsia="Times New Roman" w:hAnsi="Times New Roman" w:cs="Times New Roman"/>
                <w:sz w:val="24"/>
                <w:szCs w:val="24"/>
                <w:lang w:eastAsia="tr-TR"/>
              </w:rPr>
            </w:pPr>
            <w:r w:rsidRPr="00F41CB6">
              <w:rPr>
                <w:rFonts w:ascii="Times New Roman" w:eastAsia="Times New Roman" w:hAnsi="Times New Roman" w:cs="Times New Roman"/>
                <w:sz w:val="24"/>
                <w:szCs w:val="24"/>
                <w:lang w:eastAsia="tr-TR"/>
              </w:rPr>
              <w:t>2.90</w:t>
            </w:r>
          </w:p>
        </w:tc>
      </w:tr>
    </w:tbl>
    <w:p w14:paraId="3E6B0B11" w14:textId="4F76D171" w:rsidR="00D37873" w:rsidRPr="00CE6762" w:rsidRDefault="00D37873" w:rsidP="00CE6762">
      <w:pPr>
        <w:spacing w:after="0"/>
        <w:ind w:left="360"/>
        <w:rPr>
          <w:rFonts w:ascii="Times New Roman" w:hAnsi="Times New Roman" w:cs="Times New Roman"/>
        </w:rPr>
      </w:pPr>
    </w:p>
    <w:p w14:paraId="5D601133" w14:textId="77777777" w:rsidR="00F32E78" w:rsidRPr="00CE6762" w:rsidRDefault="00F32E78" w:rsidP="00CE6762">
      <w:pPr>
        <w:spacing w:after="0"/>
        <w:ind w:left="360"/>
        <w:rPr>
          <w:rFonts w:ascii="Times New Roman" w:hAnsi="Times New Roman" w:cs="Times New Roman"/>
        </w:rPr>
      </w:pPr>
      <w:r>
        <w:rPr>
          <w:rFonts w:ascii="Times New Roman" w:hAnsi="Times New Roman" w:cs="Times New Roman"/>
        </w:rPr>
        <w:t xml:space="preserve">     </w:t>
      </w:r>
    </w:p>
    <w:p w14:paraId="119B6268" w14:textId="2796C068" w:rsidR="00A37098" w:rsidRPr="00CE6762" w:rsidRDefault="00A37098" w:rsidP="00CE6762">
      <w:pPr>
        <w:spacing w:after="0"/>
        <w:ind w:left="360"/>
        <w:rPr>
          <w:rFonts w:ascii="Times New Roman" w:hAnsi="Times New Roman" w:cs="Times New Roman"/>
        </w:rPr>
      </w:pPr>
    </w:p>
    <w:p w14:paraId="48E2ACEA" w14:textId="32E4E113" w:rsidR="00237C1F" w:rsidRDefault="00237C1F" w:rsidP="00CE6762">
      <w:pPr>
        <w:spacing w:after="0"/>
        <w:ind w:left="360"/>
        <w:rPr>
          <w:rFonts w:ascii="Times New Roman" w:hAnsi="Times New Roman" w:cs="Times New Roman"/>
        </w:rPr>
      </w:pPr>
    </w:p>
    <w:p w14:paraId="2B1AA917" w14:textId="77777777" w:rsidR="00726322" w:rsidRPr="00CE6762" w:rsidRDefault="00726322" w:rsidP="00CE6762">
      <w:pPr>
        <w:spacing w:after="0"/>
        <w:ind w:left="36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64243877" w14:textId="44390247" w:rsidR="00ED1559"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w:t>
      </w:r>
      <w:r w:rsidR="00996AF1">
        <w:rPr>
          <w:rFonts w:ascii="Times New Roman" w:hAnsi="Times New Roman" w:cs="Times New Roman"/>
          <w:sz w:val="24"/>
          <w:szCs w:val="24"/>
        </w:rPr>
        <w:t xml:space="preserve"> ve eşik değerinde değişiklik yapılmamıştır. </w:t>
      </w:r>
    </w:p>
    <w:p w14:paraId="480BE609" w14:textId="77777777" w:rsidR="001C4661" w:rsidRDefault="001C4661" w:rsidP="001C4661">
      <w:pPr>
        <w:pStyle w:val="ListeParagraf"/>
        <w:spacing w:after="0"/>
        <w:ind w:left="360" w:firstLine="348"/>
        <w:jc w:val="both"/>
        <w:rPr>
          <w:rFonts w:ascii="Times New Roman" w:hAnsi="Times New Roman" w:cs="Times New Roman"/>
          <w:color w:val="333333"/>
          <w:shd w:val="clear" w:color="auto" w:fill="FFFFFF"/>
        </w:rPr>
      </w:pPr>
    </w:p>
    <w:p w14:paraId="788872AE" w14:textId="671D7F5E"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354D51E4"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1) Piyasa Riski:</w:t>
      </w:r>
      <w:r w:rsidRPr="005E53E4">
        <w:rPr>
          <w:rFonts w:ascii="Times New Roman" w:eastAsia="Times New Roman" w:hAnsi="Times New Roman" w:cs="Times New Roman"/>
          <w:sz w:val="24"/>
          <w:szCs w:val="24"/>
          <w:lang w:eastAsia="tr-TR"/>
        </w:rPr>
        <w:t xml:space="preserve"> Piyasa riski ile borçlanmayı temsil eden finansal araçların, ortaklık paylarının diğer menkul kıymetlerin değerinde, faiz oranları ve ortaklık payı fiyatlarındaki dalgalanmalar nedeniyle meydana gelebilecek zarar riski ifade edilmektedir. Söz konusu risklerin detaylarına aşağıda yer verilmektedir: </w:t>
      </w:r>
    </w:p>
    <w:p w14:paraId="724B7051" w14:textId="77777777" w:rsidR="00253CF6" w:rsidRPr="005E53E4" w:rsidRDefault="00253CF6" w:rsidP="00253CF6">
      <w:pPr>
        <w:shd w:val="clear" w:color="auto" w:fill="FFFFFF"/>
        <w:tabs>
          <w:tab w:val="left" w:pos="284"/>
          <w:tab w:val="left" w:pos="993"/>
        </w:tabs>
        <w:jc w:val="both"/>
        <w:rPr>
          <w:rFonts w:ascii="Times New Roman" w:eastAsia="Times New Roman" w:hAnsi="Times New Roman" w:cs="Times New Roman"/>
          <w:sz w:val="24"/>
          <w:szCs w:val="24"/>
          <w:shd w:val="clear" w:color="auto" w:fill="FFFFFF"/>
          <w:lang w:eastAsia="tr-TR"/>
        </w:rPr>
      </w:pPr>
      <w:proofErr w:type="gramStart"/>
      <w:r w:rsidRPr="005E53E4">
        <w:rPr>
          <w:rFonts w:ascii="Times New Roman" w:eastAsia="Times New Roman" w:hAnsi="Times New Roman" w:cs="Times New Roman"/>
          <w:b/>
          <w:sz w:val="24"/>
          <w:szCs w:val="24"/>
          <w:lang w:eastAsia="tr-TR"/>
        </w:rPr>
        <w:t>a</w:t>
      </w:r>
      <w:proofErr w:type="gramEnd"/>
      <w:r w:rsidRPr="005E53E4">
        <w:rPr>
          <w:rFonts w:ascii="Times New Roman" w:eastAsia="Times New Roman" w:hAnsi="Times New Roman" w:cs="Times New Roman"/>
          <w:b/>
          <w:sz w:val="24"/>
          <w:szCs w:val="24"/>
          <w:lang w:eastAsia="tr-TR"/>
        </w:rPr>
        <w:t>- Faiz Oranı Riski</w:t>
      </w:r>
      <w:r w:rsidRPr="005E53E4">
        <w:rPr>
          <w:rFonts w:ascii="Times New Roman" w:eastAsia="Times New Roman" w:hAnsi="Times New Roman" w:cs="Times New Roman"/>
          <w:sz w:val="24"/>
          <w:szCs w:val="24"/>
          <w:lang w:eastAsia="tr-TR"/>
        </w:rPr>
        <w:t xml:space="preserve">: </w:t>
      </w:r>
      <w:r w:rsidRPr="005E53E4">
        <w:rPr>
          <w:rFonts w:ascii="Times New Roman" w:eastAsia="Times New Roman" w:hAnsi="Times New Roman" w:cs="Times New Roman"/>
          <w:sz w:val="24"/>
          <w:szCs w:val="24"/>
          <w:shd w:val="clear" w:color="auto" w:fill="FFFFFF"/>
          <w:lang w:eastAsia="tr-TR"/>
        </w:rPr>
        <w:t xml:space="preserve">Fon portföyüne faize dayalı varlıkların (borçlanma aracı, ters repo </w:t>
      </w:r>
      <w:proofErr w:type="spellStart"/>
      <w:r w:rsidRPr="005E53E4">
        <w:rPr>
          <w:rFonts w:ascii="Times New Roman" w:eastAsia="Times New Roman" w:hAnsi="Times New Roman" w:cs="Times New Roman"/>
          <w:sz w:val="24"/>
          <w:szCs w:val="24"/>
          <w:shd w:val="clear" w:color="auto" w:fill="FFFFFF"/>
          <w:lang w:eastAsia="tr-TR"/>
        </w:rPr>
        <w:t>vb</w:t>
      </w:r>
      <w:proofErr w:type="spellEnd"/>
      <w:r w:rsidRPr="005E53E4">
        <w:rPr>
          <w:rFonts w:ascii="Times New Roman" w:eastAsia="Times New Roman" w:hAnsi="Times New Roman" w:cs="Times New Roman"/>
          <w:sz w:val="24"/>
          <w:szCs w:val="24"/>
          <w:shd w:val="clear" w:color="auto" w:fill="FFFFFF"/>
          <w:lang w:eastAsia="tr-TR"/>
        </w:rPr>
        <w:t>) dahil edilmesi halinde, söz konusu varlıkların değerinde piyasalarda yaşanabilecek faiz oranları değişimleri nedeniyle oluşan riski ifade eder.</w:t>
      </w:r>
    </w:p>
    <w:p w14:paraId="5320D81F" w14:textId="77777777" w:rsidR="00253CF6" w:rsidRPr="005E53E4" w:rsidRDefault="00253CF6" w:rsidP="00253CF6">
      <w:pPr>
        <w:shd w:val="clear" w:color="auto" w:fill="FFFFFF"/>
        <w:tabs>
          <w:tab w:val="left" w:pos="284"/>
          <w:tab w:val="left" w:pos="993"/>
        </w:tabs>
        <w:jc w:val="both"/>
        <w:rPr>
          <w:rFonts w:ascii="Times New Roman" w:eastAsia="Times New Roman" w:hAnsi="Times New Roman" w:cs="Times New Roman"/>
          <w:sz w:val="24"/>
          <w:szCs w:val="24"/>
          <w:lang w:eastAsia="tr-TR"/>
        </w:rPr>
      </w:pPr>
      <w:proofErr w:type="gramStart"/>
      <w:r w:rsidRPr="005E53E4">
        <w:rPr>
          <w:rFonts w:ascii="Times New Roman" w:eastAsia="Times New Roman" w:hAnsi="Times New Roman" w:cs="Times New Roman"/>
          <w:b/>
          <w:sz w:val="24"/>
          <w:szCs w:val="24"/>
          <w:lang w:eastAsia="tr-TR"/>
        </w:rPr>
        <w:t>b</w:t>
      </w:r>
      <w:proofErr w:type="gramEnd"/>
      <w:r w:rsidRPr="005E53E4">
        <w:rPr>
          <w:rFonts w:ascii="Times New Roman" w:eastAsia="Times New Roman" w:hAnsi="Times New Roman" w:cs="Times New Roman"/>
          <w:b/>
          <w:sz w:val="24"/>
          <w:szCs w:val="24"/>
          <w:lang w:eastAsia="tr-TR"/>
        </w:rPr>
        <w:t>- Ortaklık Payı Fiyat Riski:</w:t>
      </w:r>
      <w:r w:rsidRPr="005E53E4">
        <w:rPr>
          <w:rFonts w:ascii="Times New Roman" w:eastAsia="Times New Roman" w:hAnsi="Times New Roman" w:cs="Times New Roman"/>
          <w:sz w:val="24"/>
          <w:szCs w:val="24"/>
          <w:lang w:eastAsia="tr-TR"/>
        </w:rPr>
        <w:t xml:space="preserve"> Fon portföyüne ortaklık payı dahil edilmesi halinde, Fon portföyünde bulunan ortaklık paylarının fiyatlarında meydana gelebilecek değişiklikler nedeniyle portföyün maruz kalacağı zarar olasılığını ifade etmektedir.</w:t>
      </w:r>
    </w:p>
    <w:p w14:paraId="2E10117A" w14:textId="77777777" w:rsidR="00253CF6" w:rsidRPr="005E53E4" w:rsidRDefault="00253CF6" w:rsidP="00253CF6">
      <w:pPr>
        <w:jc w:val="both"/>
        <w:rPr>
          <w:rFonts w:ascii="Times New Roman" w:eastAsia="Times New Roman" w:hAnsi="Times New Roman" w:cs="Times New Roman"/>
          <w:b/>
          <w:sz w:val="24"/>
          <w:szCs w:val="24"/>
          <w:lang w:eastAsia="tr-TR"/>
        </w:rPr>
      </w:pPr>
      <w:proofErr w:type="gramStart"/>
      <w:r w:rsidRPr="005E53E4">
        <w:rPr>
          <w:rFonts w:ascii="Times New Roman" w:eastAsia="Times New Roman" w:hAnsi="Times New Roman" w:cs="Times New Roman"/>
          <w:b/>
          <w:sz w:val="24"/>
          <w:szCs w:val="24"/>
          <w:lang w:eastAsia="tr-TR"/>
        </w:rPr>
        <w:t>c</w:t>
      </w:r>
      <w:proofErr w:type="gramEnd"/>
      <w:r w:rsidRPr="005E53E4">
        <w:rPr>
          <w:rFonts w:ascii="Times New Roman" w:eastAsia="Times New Roman" w:hAnsi="Times New Roman" w:cs="Times New Roman"/>
          <w:b/>
          <w:sz w:val="24"/>
          <w:szCs w:val="24"/>
          <w:lang w:eastAsia="tr-TR"/>
        </w:rPr>
        <w:t xml:space="preserve">- Kira Sertifikası Fiyat Riski: </w:t>
      </w:r>
      <w:r w:rsidRPr="005E53E4">
        <w:rPr>
          <w:rFonts w:ascii="Times New Roman" w:eastAsia="Times New Roman" w:hAnsi="Times New Roman" w:cs="Times New Roman"/>
          <w:sz w:val="24"/>
          <w:szCs w:val="24"/>
          <w:lang w:eastAsia="tr-TR"/>
        </w:rPr>
        <w:t>Fon portföyüne kira sertifikası dahil edilmesi halinde, kira sertifikası fiyatlarında oluşabilecek dalgalanmalar nedeniyle Fon’un maruz kalacağı zarar olasılığını ifade etmektedir.</w:t>
      </w:r>
    </w:p>
    <w:p w14:paraId="397B4498" w14:textId="77777777" w:rsidR="00253CF6" w:rsidRPr="005E53E4" w:rsidRDefault="00253CF6" w:rsidP="00253CF6">
      <w:pPr>
        <w:shd w:val="clear" w:color="auto" w:fill="FFFFFF"/>
        <w:tabs>
          <w:tab w:val="left" w:pos="284"/>
          <w:tab w:val="left" w:pos="993"/>
        </w:tabs>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lastRenderedPageBreak/>
        <w:t>2)</w:t>
      </w:r>
      <w:r w:rsidRPr="005E53E4">
        <w:rPr>
          <w:rFonts w:ascii="Times New Roman" w:eastAsia="Times New Roman" w:hAnsi="Times New Roman" w:cs="Times New Roman"/>
          <w:sz w:val="24"/>
          <w:szCs w:val="24"/>
          <w:lang w:eastAsia="tr-TR"/>
        </w:rPr>
        <w:t xml:space="preserve"> </w:t>
      </w:r>
      <w:r w:rsidRPr="005E53E4">
        <w:rPr>
          <w:rFonts w:ascii="Times New Roman" w:eastAsia="Times New Roman" w:hAnsi="Times New Roman" w:cs="Times New Roman"/>
          <w:b/>
          <w:sz w:val="24"/>
          <w:szCs w:val="24"/>
          <w:lang w:eastAsia="tr-TR"/>
        </w:rPr>
        <w:t>Karşı Taraf Riski:</w:t>
      </w:r>
      <w:r w:rsidRPr="005E53E4">
        <w:rPr>
          <w:rFonts w:ascii="Times New Roman" w:eastAsia="Times New Roman" w:hAnsi="Times New Roman" w:cs="Times New Roman"/>
          <w:sz w:val="24"/>
          <w:szCs w:val="24"/>
          <w:lang w:eastAsia="tr-TR"/>
        </w:rPr>
        <w:t xml:space="preserve"> Karşı tarafın sözleşmeden kaynaklanan yükümlülüklerini yerine getirmek istememesi ve/veya yerine getirememesi ve/veya takas işlemlerinde ortaya çıkan aksaklıklar sonucunda ödemenin yapılamaması riskini ifade etmektedir.</w:t>
      </w:r>
    </w:p>
    <w:p w14:paraId="49035BCD" w14:textId="77777777" w:rsidR="00253CF6" w:rsidRPr="005E53E4" w:rsidRDefault="00253CF6" w:rsidP="00253CF6">
      <w:pPr>
        <w:shd w:val="clear" w:color="auto" w:fill="FFFFFF"/>
        <w:tabs>
          <w:tab w:val="left" w:pos="284"/>
          <w:tab w:val="left" w:pos="993"/>
        </w:tabs>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3) Likidite Riski:</w:t>
      </w:r>
      <w:r w:rsidRPr="005E53E4">
        <w:rPr>
          <w:rFonts w:ascii="Times New Roman" w:eastAsia="Times New Roman" w:hAnsi="Times New Roman" w:cs="Times New Roman"/>
          <w:sz w:val="24"/>
          <w:szCs w:val="24"/>
          <w:lang w:eastAsia="tr-TR"/>
        </w:rPr>
        <w:t xml:space="preserve"> Fon portföyünde bulunan finansal varlıkların istenildiği anda piyasa fiyatından nakde dönüştürülememesi halinde ortaya çıkan zarar olasılığıdır.</w:t>
      </w:r>
    </w:p>
    <w:p w14:paraId="20E5A67C"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 xml:space="preserve">4) Kaldıraç Yaratan İşlem Riski: </w:t>
      </w:r>
      <w:r w:rsidRPr="005E53E4">
        <w:rPr>
          <w:rFonts w:ascii="Times New Roman" w:eastAsia="Times New Roman" w:hAnsi="Times New Roman" w:cs="Times New Roman"/>
          <w:sz w:val="24"/>
          <w:szCs w:val="24"/>
          <w:lang w:eastAsia="tr-TR"/>
        </w:rPr>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2530A2D0" w14:textId="77777777" w:rsidR="00253CF6" w:rsidRPr="005E53E4" w:rsidRDefault="00253CF6" w:rsidP="00253CF6">
      <w:pPr>
        <w:shd w:val="clear" w:color="auto" w:fill="FFFFFF"/>
        <w:tabs>
          <w:tab w:val="left" w:pos="284"/>
          <w:tab w:val="left" w:pos="993"/>
        </w:tabs>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5) Operasyonel Risk</w:t>
      </w:r>
      <w:r w:rsidRPr="005E53E4">
        <w:rPr>
          <w:rFonts w:ascii="Times New Roman" w:eastAsia="Times New Roman" w:hAnsi="Times New Roman" w:cs="Times New Roman"/>
          <w:sz w:val="24"/>
          <w:szCs w:val="24"/>
          <w:lang w:eastAsia="tr-TR"/>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5E2CF24"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6) Yoğunlaşma Riski:</w:t>
      </w:r>
      <w:r w:rsidRPr="005E53E4">
        <w:rPr>
          <w:rFonts w:ascii="Times New Roman" w:eastAsia="Times New Roman" w:hAnsi="Times New Roman" w:cs="Times New Roman"/>
          <w:sz w:val="24"/>
          <w:szCs w:val="24"/>
          <w:lang w:eastAsia="tr-TR"/>
        </w:rPr>
        <w:t xml:space="preserve"> Belli bir varlığa ve/veya vadeye yoğun yatırım yapılması sonucu fonun bu varlığın ve vadenin içerdiği risklere maruz kalmasıdır.</w:t>
      </w:r>
    </w:p>
    <w:p w14:paraId="79318026"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7) Korelasyon Riski:</w:t>
      </w:r>
      <w:r w:rsidRPr="005E53E4">
        <w:rPr>
          <w:rFonts w:ascii="Times New Roman" w:eastAsia="Times New Roman" w:hAnsi="Times New Roman" w:cs="Times New Roman"/>
          <w:sz w:val="24"/>
          <w:szCs w:val="24"/>
          <w:lang w:eastAsia="tr-TR"/>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B0E3D78"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8) Yasal Risk:</w:t>
      </w:r>
      <w:r w:rsidRPr="005E53E4">
        <w:rPr>
          <w:rFonts w:ascii="Times New Roman" w:eastAsia="Times New Roman" w:hAnsi="Times New Roman" w:cs="Times New Roman"/>
          <w:sz w:val="24"/>
          <w:szCs w:val="24"/>
          <w:lang w:eastAsia="tr-TR"/>
        </w:rPr>
        <w:t xml:space="preserve"> Fonun katılma paylarının satıldığı dönemden sonra mevzuatta ve düzenleyici otoritelerin düzenlemelerinde meydana gelebilecek değişiklerden olumsuz etkilenmesi riskidir.</w:t>
      </w:r>
    </w:p>
    <w:p w14:paraId="6C59149C"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sz w:val="24"/>
          <w:szCs w:val="24"/>
          <w:lang w:eastAsia="tr-TR"/>
        </w:rPr>
        <w:t xml:space="preserve"> </w:t>
      </w:r>
      <w:r w:rsidRPr="005E53E4">
        <w:rPr>
          <w:rFonts w:ascii="Times New Roman" w:eastAsia="Times New Roman" w:hAnsi="Times New Roman" w:cs="Times New Roman"/>
          <w:b/>
          <w:sz w:val="24"/>
          <w:szCs w:val="24"/>
          <w:lang w:eastAsia="tr-TR"/>
        </w:rPr>
        <w:t xml:space="preserve">9) İhraççı Riski: </w:t>
      </w:r>
      <w:r w:rsidRPr="005E53E4">
        <w:rPr>
          <w:rFonts w:ascii="Times New Roman" w:eastAsia="Times New Roman" w:hAnsi="Times New Roman" w:cs="Times New Roman"/>
          <w:sz w:val="24"/>
          <w:szCs w:val="24"/>
          <w:lang w:eastAsia="tr-TR"/>
        </w:rPr>
        <w:t>Fon portföyüne alınan varlıkların</w:t>
      </w:r>
      <w:r w:rsidRPr="005E53E4">
        <w:rPr>
          <w:rFonts w:ascii="Times New Roman" w:eastAsia="Times New Roman" w:hAnsi="Times New Roman" w:cs="Times New Roman"/>
          <w:b/>
          <w:sz w:val="24"/>
          <w:szCs w:val="24"/>
          <w:lang w:eastAsia="tr-TR"/>
        </w:rPr>
        <w:t xml:space="preserve"> </w:t>
      </w:r>
      <w:r w:rsidRPr="005E53E4">
        <w:rPr>
          <w:rFonts w:ascii="Times New Roman" w:eastAsia="Times New Roman" w:hAnsi="Times New Roman" w:cs="Times New Roman"/>
          <w:sz w:val="24"/>
          <w:szCs w:val="24"/>
          <w:lang w:eastAsia="tr-TR"/>
        </w:rPr>
        <w:t>ihraççısının yükümlülüklerini kısmen veya tamamen zamanında yerine getirememesi nedeniyle doğabilecek zarar ihtimalini ifade eder.</w:t>
      </w:r>
    </w:p>
    <w:p w14:paraId="307893CB"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 xml:space="preserve">10) Etik Risk: </w:t>
      </w:r>
      <w:r w:rsidRPr="005E53E4">
        <w:rPr>
          <w:rFonts w:ascii="Times New Roman" w:eastAsia="Times New Roman" w:hAnsi="Times New Roman" w:cs="Times New Roman"/>
          <w:sz w:val="24"/>
          <w:szCs w:val="24"/>
          <w:lang w:eastAsia="tr-TR"/>
        </w:rPr>
        <w:t>Dolandırıcılık, suistimal, zimmete para geçirme, hırsızlık gibi nedenler ile Fon’u zarara uğratabilecek kasıtlı eylemler ya da Fon’un itibarını olumsuz etkileyecek suçların (örneğin, kara para aklanması) işlenmesi riskidir.</w:t>
      </w:r>
    </w:p>
    <w:p w14:paraId="1CCA949C"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11)</w:t>
      </w:r>
      <w:r w:rsidRPr="005E53E4">
        <w:rPr>
          <w:rFonts w:ascii="Times New Roman" w:eastAsia="Times New Roman" w:hAnsi="Times New Roman" w:cs="Times New Roman"/>
          <w:sz w:val="24"/>
          <w:szCs w:val="24"/>
          <w:lang w:eastAsia="tr-TR"/>
        </w:rPr>
        <w:t xml:space="preserve"> </w:t>
      </w:r>
      <w:r w:rsidRPr="005E53E4">
        <w:rPr>
          <w:rFonts w:ascii="Times New Roman" w:eastAsia="Times New Roman" w:hAnsi="Times New Roman" w:cs="Times New Roman"/>
          <w:b/>
          <w:sz w:val="24"/>
          <w:szCs w:val="24"/>
          <w:lang w:eastAsia="tr-TR"/>
        </w:rPr>
        <w:t>Teminat Riski:</w:t>
      </w:r>
      <w:r w:rsidRPr="005E53E4">
        <w:rPr>
          <w:rFonts w:ascii="Times New Roman" w:eastAsia="Times New Roman" w:hAnsi="Times New Roman" w:cs="Times New Roman"/>
          <w:sz w:val="24"/>
          <w:szCs w:val="24"/>
          <w:lang w:eastAsia="tr-TR"/>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22B3F18D"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12) Opsiyon Duyarlılık Riskleri:</w:t>
      </w:r>
      <w:r w:rsidRPr="005E53E4">
        <w:rPr>
          <w:rFonts w:ascii="Times New Roman" w:eastAsia="Times New Roman" w:hAnsi="Times New Roman" w:cs="Times New Roman"/>
          <w:sz w:val="24"/>
          <w:szCs w:val="24"/>
          <w:lang w:eastAsia="tr-TR"/>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w:t>
      </w:r>
      <w:r w:rsidRPr="005E53E4">
        <w:rPr>
          <w:rFonts w:ascii="Times New Roman" w:eastAsia="Times New Roman" w:hAnsi="Times New Roman" w:cs="Times New Roman"/>
          <w:sz w:val="24"/>
          <w:szCs w:val="24"/>
          <w:lang w:eastAsia="tr-TR"/>
        </w:rPr>
        <w:lastRenderedPageBreak/>
        <w:t xml:space="preserve">ölçmektedir. </w:t>
      </w:r>
      <w:proofErr w:type="spellStart"/>
      <w:r w:rsidRPr="005E53E4">
        <w:rPr>
          <w:rFonts w:ascii="Times New Roman" w:eastAsia="Times New Roman" w:hAnsi="Times New Roman" w:cs="Times New Roman"/>
          <w:sz w:val="24"/>
          <w:szCs w:val="24"/>
          <w:lang w:eastAsia="tr-TR"/>
        </w:rPr>
        <w:t>Vega</w:t>
      </w:r>
      <w:proofErr w:type="spellEnd"/>
      <w:r w:rsidRPr="005E53E4">
        <w:rPr>
          <w:rFonts w:ascii="Times New Roman" w:eastAsia="Times New Roman" w:hAnsi="Times New Roman" w:cs="Times New Roman"/>
          <w:sz w:val="24"/>
          <w:szCs w:val="24"/>
          <w:lang w:eastAsia="tr-TR"/>
        </w:rPr>
        <w:t xml:space="preserve">; opsiyonun dayanak varlığının fiyat dalgalanmasındaki birim değişimin opsiyon priminde oluşturduğu değişimdir. </w:t>
      </w:r>
      <w:proofErr w:type="spellStart"/>
      <w:r w:rsidRPr="005E53E4">
        <w:rPr>
          <w:rFonts w:ascii="Times New Roman" w:eastAsia="Times New Roman" w:hAnsi="Times New Roman" w:cs="Times New Roman"/>
          <w:sz w:val="24"/>
          <w:szCs w:val="24"/>
          <w:lang w:eastAsia="tr-TR"/>
        </w:rPr>
        <w:t>Theta</w:t>
      </w:r>
      <w:proofErr w:type="spellEnd"/>
      <w:r w:rsidRPr="005E53E4">
        <w:rPr>
          <w:rFonts w:ascii="Times New Roman" w:eastAsia="Times New Roman" w:hAnsi="Times New Roman" w:cs="Times New Roman"/>
          <w:sz w:val="24"/>
          <w:szCs w:val="24"/>
          <w:lang w:eastAsia="tr-TR"/>
        </w:rPr>
        <w:t xml:space="preserve">; risk ölçümlerinde büyük önem taşıyan zaman faktörünü ifade eden gösterge olup, opsiyon fiyatının vadeye göre değişiminin ölçüsüdür. </w:t>
      </w:r>
      <w:proofErr w:type="spellStart"/>
      <w:r w:rsidRPr="005E53E4">
        <w:rPr>
          <w:rFonts w:ascii="Times New Roman" w:eastAsia="Times New Roman" w:hAnsi="Times New Roman" w:cs="Times New Roman"/>
          <w:sz w:val="24"/>
          <w:szCs w:val="24"/>
          <w:lang w:eastAsia="tr-TR"/>
        </w:rPr>
        <w:t>Rho</w:t>
      </w:r>
      <w:proofErr w:type="spellEnd"/>
      <w:r w:rsidRPr="005E53E4">
        <w:rPr>
          <w:rFonts w:ascii="Times New Roman" w:eastAsia="Times New Roman" w:hAnsi="Times New Roman" w:cs="Times New Roman"/>
          <w:sz w:val="24"/>
          <w:szCs w:val="24"/>
          <w:lang w:eastAsia="tr-TR"/>
        </w:rPr>
        <w:t xml:space="preserve"> ise faiz oranlarındaki yüzdesel değişimin opsiyonun fiyatında oluşturduğu değişimin ölçüsüdür.</w:t>
      </w:r>
    </w:p>
    <w:p w14:paraId="6C466FA2" w14:textId="77777777" w:rsidR="00253CF6" w:rsidRPr="005E53E4" w:rsidRDefault="00253CF6" w:rsidP="00253CF6">
      <w:pPr>
        <w:jc w:val="both"/>
        <w:rPr>
          <w:rFonts w:ascii="Times New Roman" w:eastAsia="Times New Roman" w:hAnsi="Times New Roman" w:cs="Times New Roman"/>
          <w:sz w:val="24"/>
          <w:szCs w:val="24"/>
          <w:lang w:eastAsia="tr-TR"/>
        </w:rPr>
      </w:pPr>
      <w:r w:rsidRPr="005E53E4">
        <w:rPr>
          <w:rFonts w:ascii="Times New Roman" w:eastAsia="Times New Roman" w:hAnsi="Times New Roman" w:cs="Times New Roman"/>
          <w:b/>
          <w:sz w:val="24"/>
          <w:szCs w:val="24"/>
          <w:lang w:eastAsia="tr-TR"/>
        </w:rPr>
        <w:t xml:space="preserve">13) Açığa Satış Riski: </w:t>
      </w:r>
      <w:r w:rsidRPr="005E53E4">
        <w:rPr>
          <w:rFonts w:ascii="Times New Roman" w:eastAsia="Times New Roman" w:hAnsi="Times New Roman" w:cs="Times New Roman"/>
          <w:sz w:val="24"/>
          <w:szCs w:val="24"/>
          <w:lang w:eastAsia="tr-TR"/>
        </w:rPr>
        <w:t>Fon portföyü içerisinden açığa satış yapılan finansal enstrümanların piyasa likiditesinin daralması sebebiyle ödünç karşılığı ve/veya doğrudan açığa satış imkanlarının azalması durumunu ifade eder.</w:t>
      </w:r>
    </w:p>
    <w:p w14:paraId="2D3D9A41" w14:textId="653589A5" w:rsidR="001B1C6E" w:rsidRPr="00CD7184" w:rsidRDefault="00253CF6" w:rsidP="00253CF6">
      <w:pPr>
        <w:pStyle w:val="ListeParagraf"/>
        <w:spacing w:after="0"/>
        <w:jc w:val="both"/>
        <w:rPr>
          <w:rFonts w:ascii="Times New Roman" w:hAnsi="Times New Roman" w:cs="Times New Roman"/>
          <w:sz w:val="24"/>
          <w:szCs w:val="24"/>
        </w:rPr>
      </w:pPr>
      <w:r w:rsidRPr="005E53E4">
        <w:rPr>
          <w:rFonts w:ascii="Times New Roman" w:eastAsia="Times New Roman" w:hAnsi="Times New Roman" w:cs="Times New Roman"/>
          <w:b/>
          <w:sz w:val="24"/>
          <w:szCs w:val="24"/>
        </w:rPr>
        <w:t>14)</w:t>
      </w:r>
      <w:r w:rsidRPr="005E53E4">
        <w:rPr>
          <w:rFonts w:ascii="Times New Roman" w:eastAsia="Times New Roman" w:hAnsi="Times New Roman" w:cs="Times New Roman"/>
          <w:b/>
          <w:bCs/>
          <w:color w:val="222222"/>
          <w:sz w:val="24"/>
          <w:szCs w:val="24"/>
          <w:shd w:val="clear" w:color="auto" w:fill="FFFFFF"/>
        </w:rPr>
        <w:t xml:space="preserve"> Yapılandırılmış Yatırım Araçları Riski: </w:t>
      </w:r>
      <w:r w:rsidRPr="005E53E4">
        <w:rPr>
          <w:rFonts w:ascii="Times New Roman" w:eastAsia="Times New Roman" w:hAnsi="Times New Roman" w:cs="Times New Roman"/>
          <w:color w:val="222222"/>
          <w:sz w:val="24"/>
          <w:szCs w:val="24"/>
          <w:shd w:val="clear" w:color="auto" w:fill="FFFFFF"/>
        </w:rPr>
        <w:t>Yapılandırılmış yatırım araçlarına yapılan yatırımın beklenmedik ve olağandışı gelişmelerin yaşanması durumunda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 düşebilir</w:t>
      </w:r>
      <w:r w:rsidRPr="005E53E4">
        <w:rPr>
          <w:rFonts w:ascii="Times New Roman" w:eastAsia="Times New Roman" w:hAnsi="Times New Roman" w:cs="Times New Roman"/>
          <w:sz w:val="24"/>
          <w:szCs w:val="24"/>
        </w:rPr>
        <w:t>.</w:t>
      </w:r>
    </w:p>
    <w:sectPr w:rsidR="001B1C6E" w:rsidRPr="00CD7184"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2F739" w14:textId="77777777" w:rsidR="00ED1559" w:rsidRPr="00621CF3" w:rsidRDefault="00ED1559" w:rsidP="00ED1559">
    <w:pPr>
      <w:spacing w:after="0"/>
      <w:rPr>
        <w:rFonts w:ascii="Times New Roman" w:hAnsi="Times New Roman" w:cs="Times New Roman"/>
        <w:sz w:val="24"/>
        <w:szCs w:val="24"/>
      </w:rPr>
    </w:pPr>
  </w:p>
  <w:p w14:paraId="4929797E" w14:textId="38882A6F" w:rsidR="00A05B08" w:rsidRPr="00ED1559" w:rsidRDefault="00ED1559" w:rsidP="00ED1559">
    <w:pPr>
      <w:spacing w:after="0"/>
      <w:rPr>
        <w:rFonts w:ascii="Times New Roman" w:hAnsi="Times New Roman" w:cs="Times New Roman"/>
        <w:b/>
        <w:sz w:val="28"/>
        <w:szCs w:val="28"/>
      </w:rPr>
    </w:pPr>
    <w:r w:rsidRPr="00ED1559">
      <w:rPr>
        <w:rFonts w:ascii="Times New Roman" w:hAnsi="Times New Roman" w:cs="Times New Roman"/>
        <w:b/>
        <w:color w:val="1F3864" w:themeColor="accent5" w:themeShade="80"/>
        <w:sz w:val="24"/>
        <w:szCs w:val="24"/>
      </w:rPr>
      <w:t xml:space="preserve">HEDEF PORTFÖY POYRAZ SERBEST(TL) </w:t>
    </w:r>
    <w:proofErr w:type="gramStart"/>
    <w:r w:rsidRPr="00ED1559">
      <w:rPr>
        <w:rFonts w:ascii="Times New Roman" w:hAnsi="Times New Roman" w:cs="Times New Roman"/>
        <w:b/>
        <w:color w:val="1F3864" w:themeColor="accent5" w:themeShade="80"/>
        <w:sz w:val="24"/>
        <w:szCs w:val="24"/>
      </w:rPr>
      <w:t>FON(</w:t>
    </w:r>
    <w:proofErr w:type="gramEnd"/>
    <w:r w:rsidRPr="00ED1559">
      <w:rPr>
        <w:rFonts w:ascii="Times New Roman" w:hAnsi="Times New Roman" w:cs="Times New Roman"/>
        <w:b/>
        <w:color w:val="1F3864" w:themeColor="accent5" w:themeShade="80"/>
        <w:sz w:val="24"/>
        <w:szCs w:val="24"/>
      </w:rPr>
      <w:t>HİSSE SENEDİ YOĞUN FON)</w:t>
    </w:r>
    <w:r w:rsidR="009C7259">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6552A"/>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E2747C"/>
    <w:multiLevelType w:val="hybridMultilevel"/>
    <w:tmpl w:val="0F5A6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336736574">
    <w:abstractNumId w:val="3"/>
  </w:num>
  <w:num w:numId="2" w16cid:durableId="1718511706">
    <w:abstractNumId w:val="0"/>
  </w:num>
  <w:num w:numId="3" w16cid:durableId="73403359">
    <w:abstractNumId w:val="8"/>
  </w:num>
  <w:num w:numId="4" w16cid:durableId="1601988877">
    <w:abstractNumId w:val="7"/>
  </w:num>
  <w:num w:numId="5" w16cid:durableId="1033387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281684">
    <w:abstractNumId w:val="9"/>
  </w:num>
  <w:num w:numId="7" w16cid:durableId="1971666469">
    <w:abstractNumId w:val="2"/>
  </w:num>
  <w:num w:numId="8" w16cid:durableId="1572228882">
    <w:abstractNumId w:val="4"/>
  </w:num>
  <w:num w:numId="9" w16cid:durableId="572665894">
    <w:abstractNumId w:val="6"/>
  </w:num>
  <w:num w:numId="10" w16cid:durableId="868569675">
    <w:abstractNumId w:val="1"/>
  </w:num>
  <w:num w:numId="11" w16cid:durableId="29035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6B29"/>
    <w:rsid w:val="00030329"/>
    <w:rsid w:val="00032E31"/>
    <w:rsid w:val="000333B4"/>
    <w:rsid w:val="00044114"/>
    <w:rsid w:val="00052CF8"/>
    <w:rsid w:val="000669A7"/>
    <w:rsid w:val="000A04F5"/>
    <w:rsid w:val="000A1D61"/>
    <w:rsid w:val="000B2046"/>
    <w:rsid w:val="000E1417"/>
    <w:rsid w:val="000F1AC6"/>
    <w:rsid w:val="000F7A0F"/>
    <w:rsid w:val="000F7B1B"/>
    <w:rsid w:val="00103F61"/>
    <w:rsid w:val="00106889"/>
    <w:rsid w:val="00137894"/>
    <w:rsid w:val="0014637A"/>
    <w:rsid w:val="00154745"/>
    <w:rsid w:val="001A238C"/>
    <w:rsid w:val="001B1348"/>
    <w:rsid w:val="001B1C6E"/>
    <w:rsid w:val="001C4661"/>
    <w:rsid w:val="001C4968"/>
    <w:rsid w:val="001E0E01"/>
    <w:rsid w:val="00223B91"/>
    <w:rsid w:val="0023421B"/>
    <w:rsid w:val="00236423"/>
    <w:rsid w:val="00237C1F"/>
    <w:rsid w:val="00242370"/>
    <w:rsid w:val="00253CF6"/>
    <w:rsid w:val="00275FAF"/>
    <w:rsid w:val="0029368E"/>
    <w:rsid w:val="00294CF5"/>
    <w:rsid w:val="00295675"/>
    <w:rsid w:val="002B133F"/>
    <w:rsid w:val="002D47A7"/>
    <w:rsid w:val="002E0202"/>
    <w:rsid w:val="002E2517"/>
    <w:rsid w:val="002E685D"/>
    <w:rsid w:val="002F05F2"/>
    <w:rsid w:val="002F33C2"/>
    <w:rsid w:val="00345E9E"/>
    <w:rsid w:val="00351EF4"/>
    <w:rsid w:val="00353A6C"/>
    <w:rsid w:val="00373F9B"/>
    <w:rsid w:val="00392B73"/>
    <w:rsid w:val="00395760"/>
    <w:rsid w:val="00396E76"/>
    <w:rsid w:val="003B245E"/>
    <w:rsid w:val="003C24E1"/>
    <w:rsid w:val="003D35A3"/>
    <w:rsid w:val="003D4A1E"/>
    <w:rsid w:val="003D66F7"/>
    <w:rsid w:val="003E3637"/>
    <w:rsid w:val="0041052D"/>
    <w:rsid w:val="004161CF"/>
    <w:rsid w:val="00416252"/>
    <w:rsid w:val="00446BBE"/>
    <w:rsid w:val="00495B04"/>
    <w:rsid w:val="004A5550"/>
    <w:rsid w:val="004B38FB"/>
    <w:rsid w:val="004C5257"/>
    <w:rsid w:val="004E72E0"/>
    <w:rsid w:val="00516F06"/>
    <w:rsid w:val="0052330E"/>
    <w:rsid w:val="00546ADE"/>
    <w:rsid w:val="00596106"/>
    <w:rsid w:val="00596C79"/>
    <w:rsid w:val="005A19EC"/>
    <w:rsid w:val="005B4267"/>
    <w:rsid w:val="005C70A1"/>
    <w:rsid w:val="005D0231"/>
    <w:rsid w:val="005D3818"/>
    <w:rsid w:val="005F5413"/>
    <w:rsid w:val="0062182C"/>
    <w:rsid w:val="00621CF3"/>
    <w:rsid w:val="00623AF0"/>
    <w:rsid w:val="0063638E"/>
    <w:rsid w:val="006554C1"/>
    <w:rsid w:val="006858ED"/>
    <w:rsid w:val="0068663D"/>
    <w:rsid w:val="006A0773"/>
    <w:rsid w:val="006C07D6"/>
    <w:rsid w:val="006D1809"/>
    <w:rsid w:val="006F1320"/>
    <w:rsid w:val="00713B3D"/>
    <w:rsid w:val="00726322"/>
    <w:rsid w:val="00732B90"/>
    <w:rsid w:val="007403AA"/>
    <w:rsid w:val="00740899"/>
    <w:rsid w:val="007655DB"/>
    <w:rsid w:val="007836E8"/>
    <w:rsid w:val="007A0262"/>
    <w:rsid w:val="007B4462"/>
    <w:rsid w:val="007B4E2D"/>
    <w:rsid w:val="007C73DD"/>
    <w:rsid w:val="007D2136"/>
    <w:rsid w:val="007D75CD"/>
    <w:rsid w:val="0080627C"/>
    <w:rsid w:val="00817594"/>
    <w:rsid w:val="008260F4"/>
    <w:rsid w:val="00897BBB"/>
    <w:rsid w:val="008A2B04"/>
    <w:rsid w:val="008A4183"/>
    <w:rsid w:val="008A4474"/>
    <w:rsid w:val="008A60CB"/>
    <w:rsid w:val="008B490C"/>
    <w:rsid w:val="008C136E"/>
    <w:rsid w:val="00901163"/>
    <w:rsid w:val="00942BAD"/>
    <w:rsid w:val="00973E09"/>
    <w:rsid w:val="0097465C"/>
    <w:rsid w:val="00976460"/>
    <w:rsid w:val="00996AF1"/>
    <w:rsid w:val="009A6126"/>
    <w:rsid w:val="009C7259"/>
    <w:rsid w:val="009E6529"/>
    <w:rsid w:val="00A05B08"/>
    <w:rsid w:val="00A17399"/>
    <w:rsid w:val="00A23DDD"/>
    <w:rsid w:val="00A263C6"/>
    <w:rsid w:val="00A2654E"/>
    <w:rsid w:val="00A37098"/>
    <w:rsid w:val="00A50942"/>
    <w:rsid w:val="00A6163A"/>
    <w:rsid w:val="00A63F54"/>
    <w:rsid w:val="00A667D5"/>
    <w:rsid w:val="00A67A8A"/>
    <w:rsid w:val="00A779B1"/>
    <w:rsid w:val="00A82B19"/>
    <w:rsid w:val="00AA17B4"/>
    <w:rsid w:val="00AD4058"/>
    <w:rsid w:val="00AF3A9D"/>
    <w:rsid w:val="00B0061A"/>
    <w:rsid w:val="00B0426D"/>
    <w:rsid w:val="00B212E2"/>
    <w:rsid w:val="00B268DB"/>
    <w:rsid w:val="00B31E30"/>
    <w:rsid w:val="00B96FA7"/>
    <w:rsid w:val="00B975CA"/>
    <w:rsid w:val="00BA118B"/>
    <w:rsid w:val="00BA2C65"/>
    <w:rsid w:val="00BA2F1E"/>
    <w:rsid w:val="00BC0AF1"/>
    <w:rsid w:val="00BC4211"/>
    <w:rsid w:val="00BE37F7"/>
    <w:rsid w:val="00BF2B84"/>
    <w:rsid w:val="00BF54DE"/>
    <w:rsid w:val="00C158F7"/>
    <w:rsid w:val="00C16969"/>
    <w:rsid w:val="00C75376"/>
    <w:rsid w:val="00C832BA"/>
    <w:rsid w:val="00CB0656"/>
    <w:rsid w:val="00CC0D71"/>
    <w:rsid w:val="00CC7520"/>
    <w:rsid w:val="00CD4C99"/>
    <w:rsid w:val="00CD7184"/>
    <w:rsid w:val="00CE6762"/>
    <w:rsid w:val="00CF029B"/>
    <w:rsid w:val="00D06446"/>
    <w:rsid w:val="00D302F4"/>
    <w:rsid w:val="00D34E03"/>
    <w:rsid w:val="00D36275"/>
    <w:rsid w:val="00D37873"/>
    <w:rsid w:val="00D42D4B"/>
    <w:rsid w:val="00D52CC0"/>
    <w:rsid w:val="00D7161B"/>
    <w:rsid w:val="00D81B9A"/>
    <w:rsid w:val="00D83DFE"/>
    <w:rsid w:val="00DD5023"/>
    <w:rsid w:val="00DE184F"/>
    <w:rsid w:val="00DE51D6"/>
    <w:rsid w:val="00E12E3B"/>
    <w:rsid w:val="00E25E72"/>
    <w:rsid w:val="00E27CCD"/>
    <w:rsid w:val="00E50129"/>
    <w:rsid w:val="00E7527E"/>
    <w:rsid w:val="00E815C1"/>
    <w:rsid w:val="00EA6C4D"/>
    <w:rsid w:val="00EB4E0D"/>
    <w:rsid w:val="00EC15BE"/>
    <w:rsid w:val="00ED1559"/>
    <w:rsid w:val="00ED76F3"/>
    <w:rsid w:val="00EE1C8B"/>
    <w:rsid w:val="00EF2040"/>
    <w:rsid w:val="00EF700D"/>
    <w:rsid w:val="00F32E78"/>
    <w:rsid w:val="00F41CB6"/>
    <w:rsid w:val="00F42315"/>
    <w:rsid w:val="00F5703C"/>
    <w:rsid w:val="00F70D62"/>
    <w:rsid w:val="00F76DF3"/>
    <w:rsid w:val="00F8272B"/>
    <w:rsid w:val="00F8499F"/>
    <w:rsid w:val="00F94051"/>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50188826">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2724056">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51441304">
      <w:bodyDiv w:val="1"/>
      <w:marLeft w:val="0"/>
      <w:marRight w:val="0"/>
      <w:marTop w:val="0"/>
      <w:marBottom w:val="0"/>
      <w:divBdr>
        <w:top w:val="none" w:sz="0" w:space="0" w:color="auto"/>
        <w:left w:val="none" w:sz="0" w:space="0" w:color="auto"/>
        <w:bottom w:val="none" w:sz="0" w:space="0" w:color="auto"/>
        <w:right w:val="none" w:sz="0" w:space="0" w:color="auto"/>
      </w:divBdr>
    </w:div>
    <w:div w:id="466092708">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2069185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61349096">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143541653">
      <w:bodyDiv w:val="1"/>
      <w:marLeft w:val="0"/>
      <w:marRight w:val="0"/>
      <w:marTop w:val="0"/>
      <w:marBottom w:val="0"/>
      <w:divBdr>
        <w:top w:val="none" w:sz="0" w:space="0" w:color="auto"/>
        <w:left w:val="none" w:sz="0" w:space="0" w:color="auto"/>
        <w:bottom w:val="none" w:sz="0" w:space="0" w:color="auto"/>
        <w:right w:val="none" w:sz="0" w:space="0" w:color="auto"/>
      </w:divBdr>
    </w:div>
    <w:div w:id="1204749357">
      <w:bodyDiv w:val="1"/>
      <w:marLeft w:val="0"/>
      <w:marRight w:val="0"/>
      <w:marTop w:val="0"/>
      <w:marBottom w:val="0"/>
      <w:divBdr>
        <w:top w:val="none" w:sz="0" w:space="0" w:color="auto"/>
        <w:left w:val="none" w:sz="0" w:space="0" w:color="auto"/>
        <w:bottom w:val="none" w:sz="0" w:space="0" w:color="auto"/>
        <w:right w:val="none" w:sz="0" w:space="0" w:color="auto"/>
      </w:divBdr>
    </w:div>
    <w:div w:id="1222517908">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458183807">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40458880">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6</Pages>
  <Words>1625</Words>
  <Characters>9267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69</cp:revision>
  <cp:lastPrinted>2018-01-05T06:32:00Z</cp:lastPrinted>
  <dcterms:created xsi:type="dcterms:W3CDTF">2020-07-06T20:50:00Z</dcterms:created>
  <dcterms:modified xsi:type="dcterms:W3CDTF">2024-07-04T08:29:00Z</dcterms:modified>
</cp:coreProperties>
</file>