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F73F2" w14:textId="77777777"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64E90267" w14:textId="2CDB3596" w:rsidR="00E25F86" w:rsidRPr="00032E31" w:rsidRDefault="00E25F86" w:rsidP="00E25F86">
      <w:pPr>
        <w:spacing w:after="0"/>
        <w:jc w:val="center"/>
        <w:rPr>
          <w:rFonts w:ascii="Times New Roman" w:hAnsi="Times New Roman" w:cs="Times New Roman"/>
          <w:b/>
          <w:sz w:val="28"/>
          <w:szCs w:val="28"/>
        </w:rPr>
      </w:pPr>
      <w:r w:rsidRPr="00032E31">
        <w:rPr>
          <w:rFonts w:ascii="Times New Roman" w:hAnsi="Times New Roman" w:cs="Times New Roman"/>
          <w:b/>
          <w:sz w:val="28"/>
          <w:szCs w:val="28"/>
        </w:rPr>
        <w:t xml:space="preserve">HEDEF PORTFÖY </w:t>
      </w:r>
      <w:r>
        <w:rPr>
          <w:rFonts w:ascii="Times New Roman" w:hAnsi="Times New Roman" w:cs="Times New Roman"/>
          <w:b/>
          <w:sz w:val="28"/>
          <w:szCs w:val="28"/>
        </w:rPr>
        <w:t>ROTA HİSSE SENEDİ SERBEST</w:t>
      </w:r>
      <w:r w:rsidR="00D71683">
        <w:rPr>
          <w:rFonts w:ascii="Times New Roman" w:hAnsi="Times New Roman" w:cs="Times New Roman"/>
          <w:b/>
          <w:sz w:val="28"/>
          <w:szCs w:val="28"/>
        </w:rPr>
        <w:t>(TL)</w:t>
      </w:r>
      <w:r>
        <w:rPr>
          <w:rFonts w:ascii="Times New Roman" w:hAnsi="Times New Roman" w:cs="Times New Roman"/>
          <w:b/>
          <w:sz w:val="28"/>
          <w:szCs w:val="28"/>
        </w:rPr>
        <w:t xml:space="preserve"> FON (HİSSE SENEDİ YOĞUN FON)</w:t>
      </w:r>
    </w:p>
    <w:p w14:paraId="41D4027C" w14:textId="77777777" w:rsidR="00621CF3" w:rsidRPr="00621CF3" w:rsidRDefault="00621CF3" w:rsidP="00621CF3">
      <w:pPr>
        <w:spacing w:after="0"/>
        <w:jc w:val="center"/>
        <w:rPr>
          <w:rFonts w:ascii="Times New Roman" w:hAnsi="Times New Roman" w:cs="Times New Roman"/>
          <w:sz w:val="24"/>
          <w:szCs w:val="24"/>
        </w:rPr>
      </w:pPr>
    </w:p>
    <w:p w14:paraId="7D7018FF" w14:textId="39375133" w:rsidR="00621CF3" w:rsidRPr="00237C1F" w:rsidRDefault="004D6AE1" w:rsidP="00621CF3">
      <w:pPr>
        <w:spacing w:after="0"/>
        <w:jc w:val="center"/>
        <w:rPr>
          <w:rFonts w:ascii="Times New Roman" w:hAnsi="Times New Roman" w:cs="Times New Roman"/>
          <w:sz w:val="24"/>
          <w:szCs w:val="24"/>
        </w:rPr>
      </w:pPr>
      <w:r>
        <w:rPr>
          <w:rFonts w:ascii="Times New Roman" w:hAnsi="Times New Roman" w:cs="Times New Roman"/>
          <w:sz w:val="24"/>
          <w:szCs w:val="24"/>
        </w:rPr>
        <w:t xml:space="preserve">01 OCAK </w:t>
      </w:r>
      <w:r w:rsidR="00CE6762">
        <w:rPr>
          <w:rFonts w:ascii="Times New Roman" w:hAnsi="Times New Roman" w:cs="Times New Roman"/>
          <w:sz w:val="24"/>
          <w:szCs w:val="24"/>
        </w:rPr>
        <w:t xml:space="preserve"> – </w:t>
      </w:r>
      <w:r w:rsidR="00F55070">
        <w:rPr>
          <w:rFonts w:ascii="Times New Roman" w:hAnsi="Times New Roman" w:cs="Times New Roman"/>
          <w:sz w:val="24"/>
          <w:szCs w:val="24"/>
        </w:rPr>
        <w:t>3</w:t>
      </w:r>
      <w:r w:rsidR="00C86B07">
        <w:rPr>
          <w:rFonts w:ascii="Times New Roman" w:hAnsi="Times New Roman" w:cs="Times New Roman"/>
          <w:sz w:val="24"/>
          <w:szCs w:val="24"/>
        </w:rPr>
        <w:t>0</w:t>
      </w:r>
      <w:r w:rsidR="00F55070">
        <w:rPr>
          <w:rFonts w:ascii="Times New Roman" w:hAnsi="Times New Roman" w:cs="Times New Roman"/>
          <w:sz w:val="24"/>
          <w:szCs w:val="24"/>
        </w:rPr>
        <w:t xml:space="preserve"> </w:t>
      </w:r>
      <w:r w:rsidR="00C86B07">
        <w:rPr>
          <w:rFonts w:ascii="Times New Roman" w:hAnsi="Times New Roman" w:cs="Times New Roman"/>
          <w:sz w:val="24"/>
          <w:szCs w:val="24"/>
        </w:rPr>
        <w:t>HAZİRAN 2024</w:t>
      </w:r>
      <w:r w:rsidR="00621CF3" w:rsidRPr="00237C1F">
        <w:rPr>
          <w:rFonts w:ascii="Times New Roman" w:hAnsi="Times New Roman" w:cs="Times New Roman"/>
          <w:sz w:val="24"/>
          <w:szCs w:val="24"/>
        </w:rPr>
        <w:t xml:space="preserve"> 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14418A6" w14:textId="77777777" w:rsidR="00621CF3" w:rsidRDefault="00621CF3" w:rsidP="00621CF3">
      <w:pPr>
        <w:spacing w:after="0"/>
        <w:jc w:val="center"/>
        <w:rPr>
          <w:rFonts w:ascii="Times New Roman" w:hAnsi="Times New Roman" w:cs="Times New Roman"/>
          <w:sz w:val="24"/>
          <w:szCs w:val="24"/>
        </w:rPr>
      </w:pPr>
    </w:p>
    <w:p w14:paraId="0C727F2F" w14:textId="77777777" w:rsidR="00621CF3" w:rsidRDefault="00621CF3" w:rsidP="00621CF3">
      <w:pPr>
        <w:spacing w:after="0"/>
        <w:jc w:val="center"/>
        <w:rPr>
          <w:rFonts w:ascii="Times New Roman" w:hAnsi="Times New Roman" w:cs="Times New Roman"/>
          <w:sz w:val="24"/>
          <w:szCs w:val="24"/>
        </w:rPr>
      </w:pPr>
    </w:p>
    <w:p w14:paraId="1F85F09D" w14:textId="77777777" w:rsidR="00621CF3" w:rsidRDefault="00621CF3" w:rsidP="00621CF3">
      <w:pPr>
        <w:spacing w:after="0"/>
        <w:jc w:val="center"/>
        <w:rPr>
          <w:rFonts w:ascii="Times New Roman" w:hAnsi="Times New Roman" w:cs="Times New Roman"/>
          <w:sz w:val="24"/>
          <w:szCs w:val="24"/>
        </w:rPr>
      </w:pPr>
    </w:p>
    <w:p w14:paraId="706C75E6" w14:textId="77777777" w:rsidR="00621CF3" w:rsidRDefault="00621CF3" w:rsidP="00621CF3">
      <w:pPr>
        <w:spacing w:after="0"/>
        <w:jc w:val="center"/>
        <w:rPr>
          <w:rFonts w:ascii="Times New Roman" w:hAnsi="Times New Roman" w:cs="Times New Roman"/>
          <w:sz w:val="24"/>
          <w:szCs w:val="24"/>
        </w:rPr>
      </w:pPr>
    </w:p>
    <w:p w14:paraId="0BF3E19C" w14:textId="77777777" w:rsidR="00621CF3" w:rsidRDefault="00621CF3" w:rsidP="00621CF3">
      <w:pPr>
        <w:spacing w:after="0"/>
        <w:jc w:val="center"/>
        <w:rPr>
          <w:rFonts w:ascii="Times New Roman" w:hAnsi="Times New Roman" w:cs="Times New Roman"/>
          <w:sz w:val="24"/>
          <w:szCs w:val="24"/>
        </w:rPr>
      </w:pPr>
    </w:p>
    <w:p w14:paraId="2622C443" w14:textId="77777777" w:rsidR="00621CF3" w:rsidRDefault="00621CF3" w:rsidP="00621CF3">
      <w:pPr>
        <w:spacing w:after="0"/>
        <w:jc w:val="center"/>
        <w:rPr>
          <w:rFonts w:ascii="Times New Roman" w:hAnsi="Times New Roman" w:cs="Times New Roman"/>
          <w:sz w:val="24"/>
          <w:szCs w:val="24"/>
        </w:rPr>
      </w:pPr>
    </w:p>
    <w:p w14:paraId="1ED006B9" w14:textId="77777777" w:rsidR="00621CF3" w:rsidRDefault="00621CF3" w:rsidP="00621CF3">
      <w:pPr>
        <w:spacing w:after="0"/>
        <w:jc w:val="center"/>
        <w:rPr>
          <w:rFonts w:ascii="Times New Roman" w:hAnsi="Times New Roman" w:cs="Times New Roman"/>
          <w:sz w:val="24"/>
          <w:szCs w:val="24"/>
        </w:rPr>
      </w:pPr>
    </w:p>
    <w:p w14:paraId="2D9EAC84" w14:textId="77777777" w:rsidR="00AD4058" w:rsidRDefault="00AD4058" w:rsidP="00621CF3">
      <w:pPr>
        <w:spacing w:after="0"/>
        <w:jc w:val="center"/>
        <w:rPr>
          <w:rFonts w:ascii="Times New Roman" w:hAnsi="Times New Roman" w:cs="Times New Roman"/>
          <w:sz w:val="24"/>
          <w:szCs w:val="24"/>
        </w:rPr>
      </w:pPr>
    </w:p>
    <w:p w14:paraId="3B4D1E78" w14:textId="77777777" w:rsidR="00AD4058" w:rsidRDefault="00AD4058" w:rsidP="00621CF3">
      <w:pPr>
        <w:spacing w:after="0"/>
        <w:jc w:val="center"/>
        <w:rPr>
          <w:rFonts w:ascii="Times New Roman" w:hAnsi="Times New Roman" w:cs="Times New Roman"/>
          <w:sz w:val="24"/>
          <w:szCs w:val="24"/>
        </w:rPr>
      </w:pPr>
    </w:p>
    <w:p w14:paraId="1896A542" w14:textId="77777777" w:rsidR="00AD4058" w:rsidRDefault="00AD4058"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687"/>
        <w:gridCol w:w="5477"/>
      </w:tblGrid>
      <w:tr w:rsidR="001B1348" w:rsidRPr="00BE37F7" w14:paraId="1687B3A0" w14:textId="77777777" w:rsidTr="008260F4">
        <w:trPr>
          <w:trHeight w:val="818"/>
        </w:trPr>
        <w:tc>
          <w:tcPr>
            <w:tcW w:w="3510"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032C15DE" w:rsidR="001B1348" w:rsidRPr="00BE37F7" w:rsidRDefault="00E25F86" w:rsidP="001B1348">
            <w:pPr>
              <w:jc w:val="center"/>
              <w:rPr>
                <w:rFonts w:ascii="Times New Roman" w:hAnsi="Times New Roman" w:cs="Times New Roman"/>
                <w:sz w:val="24"/>
                <w:szCs w:val="24"/>
              </w:rPr>
            </w:pPr>
            <w:r>
              <w:rPr>
                <w:rFonts w:ascii="Times New Roman" w:hAnsi="Times New Roman" w:cs="Times New Roman"/>
                <w:sz w:val="24"/>
                <w:szCs w:val="24"/>
              </w:rPr>
              <w:t>18</w:t>
            </w:r>
            <w:r w:rsidR="00EC15BE">
              <w:rPr>
                <w:rFonts w:ascii="Times New Roman" w:hAnsi="Times New Roman" w:cs="Times New Roman"/>
                <w:sz w:val="24"/>
                <w:szCs w:val="24"/>
              </w:rPr>
              <w:t xml:space="preserve"> </w:t>
            </w:r>
            <w:r>
              <w:rPr>
                <w:rFonts w:ascii="Times New Roman" w:hAnsi="Times New Roman" w:cs="Times New Roman"/>
                <w:sz w:val="24"/>
                <w:szCs w:val="24"/>
              </w:rPr>
              <w:t>Nisan</w:t>
            </w:r>
            <w:r w:rsidR="001B1348" w:rsidRPr="00BE37F7">
              <w:rPr>
                <w:rFonts w:ascii="Times New Roman" w:hAnsi="Times New Roman" w:cs="Times New Roman"/>
                <w:sz w:val="24"/>
                <w:szCs w:val="24"/>
              </w:rPr>
              <w:t xml:space="preserve"> 20</w:t>
            </w:r>
            <w:r w:rsidR="00EC15BE">
              <w:rPr>
                <w:rFonts w:ascii="Times New Roman" w:hAnsi="Times New Roman" w:cs="Times New Roman"/>
                <w:sz w:val="24"/>
                <w:szCs w:val="24"/>
              </w:rPr>
              <w:t>2</w:t>
            </w:r>
            <w:r w:rsidR="00FA1556">
              <w:rPr>
                <w:rFonts w:ascii="Times New Roman" w:hAnsi="Times New Roman" w:cs="Times New Roman"/>
                <w:sz w:val="24"/>
                <w:szCs w:val="24"/>
              </w:rPr>
              <w:t>2</w:t>
            </w:r>
          </w:p>
        </w:tc>
        <w:tc>
          <w:tcPr>
            <w:tcW w:w="5477"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8260F4">
        <w:trPr>
          <w:trHeight w:val="272"/>
        </w:trPr>
        <w:tc>
          <w:tcPr>
            <w:tcW w:w="3510" w:type="dxa"/>
            <w:gridSpan w:val="2"/>
          </w:tcPr>
          <w:p w14:paraId="6F02B738" w14:textId="28D5BD33" w:rsidR="001B1348" w:rsidRPr="00BE37F7" w:rsidRDefault="0059113F" w:rsidP="007D75CD">
            <w:pPr>
              <w:jc w:val="center"/>
              <w:rPr>
                <w:rFonts w:ascii="Times New Roman" w:hAnsi="Times New Roman" w:cs="Times New Roman"/>
                <w:b/>
                <w:sz w:val="24"/>
                <w:szCs w:val="24"/>
              </w:rPr>
            </w:pPr>
            <w:r w:rsidRPr="0059113F">
              <w:rPr>
                <w:rFonts w:ascii="Times New Roman" w:hAnsi="Times New Roman" w:cs="Times New Roman"/>
                <w:b/>
                <w:sz w:val="24"/>
                <w:szCs w:val="24"/>
              </w:rPr>
              <w:t>30 Haziran 2024 itibariyle</w:t>
            </w:r>
          </w:p>
        </w:tc>
        <w:tc>
          <w:tcPr>
            <w:tcW w:w="5477"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8260F4">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687" w:type="dxa"/>
          </w:tcPr>
          <w:p w14:paraId="7EB7923A" w14:textId="3F4DC5BF" w:rsidR="001B1348" w:rsidRPr="00BE37F7" w:rsidRDefault="00A9772D" w:rsidP="00236423">
            <w:pPr>
              <w:jc w:val="right"/>
              <w:rPr>
                <w:rFonts w:ascii="Times New Roman" w:hAnsi="Times New Roman" w:cs="Times New Roman"/>
                <w:sz w:val="24"/>
                <w:szCs w:val="24"/>
              </w:rPr>
            </w:pPr>
            <w:r w:rsidRPr="00A9772D">
              <w:rPr>
                <w:rFonts w:ascii="Times New Roman" w:hAnsi="Times New Roman" w:cs="Times New Roman"/>
                <w:sz w:val="24"/>
                <w:szCs w:val="24"/>
              </w:rPr>
              <w:t>47.635.795,99</w:t>
            </w:r>
            <w:r w:rsidR="006E6949" w:rsidRPr="006E6949">
              <w:rPr>
                <w:rFonts w:ascii="Times New Roman" w:hAnsi="Times New Roman" w:cs="Times New Roman"/>
                <w:sz w:val="24"/>
                <w:szCs w:val="24"/>
              </w:rPr>
              <w:tab/>
            </w:r>
          </w:p>
        </w:tc>
        <w:tc>
          <w:tcPr>
            <w:tcW w:w="5477" w:type="dxa"/>
          </w:tcPr>
          <w:p w14:paraId="74B65ACA" w14:textId="0EC2A251" w:rsidR="001B1348" w:rsidRDefault="006B0E9D"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44D16191" w:rsidR="00EC15BE" w:rsidRPr="00BE37F7" w:rsidRDefault="006B0E9D"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BE37F7" w14:paraId="49414BC0" w14:textId="77777777" w:rsidTr="008260F4">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687" w:type="dxa"/>
          </w:tcPr>
          <w:p w14:paraId="22FF4823" w14:textId="2D81C7CE" w:rsidR="00237C1F" w:rsidRPr="00BE37F7" w:rsidRDefault="00A9772D" w:rsidP="00236423">
            <w:pPr>
              <w:jc w:val="right"/>
              <w:rPr>
                <w:rFonts w:ascii="Times New Roman" w:hAnsi="Times New Roman" w:cs="Times New Roman"/>
                <w:sz w:val="24"/>
                <w:szCs w:val="24"/>
              </w:rPr>
            </w:pPr>
            <w:r w:rsidRPr="00A9772D">
              <w:rPr>
                <w:rFonts w:ascii="Times New Roman" w:hAnsi="Times New Roman" w:cs="Times New Roman"/>
                <w:sz w:val="24"/>
                <w:szCs w:val="24"/>
              </w:rPr>
              <w:t>46,587029</w:t>
            </w:r>
          </w:p>
        </w:tc>
        <w:tc>
          <w:tcPr>
            <w:tcW w:w="5477"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8260F4">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687" w:type="dxa"/>
          </w:tcPr>
          <w:p w14:paraId="5681A160" w14:textId="67EA1D7F" w:rsidR="00E50129" w:rsidRPr="00BE37F7" w:rsidRDefault="00A9772D" w:rsidP="003B245E">
            <w:pPr>
              <w:jc w:val="right"/>
              <w:rPr>
                <w:rFonts w:ascii="Times New Roman" w:hAnsi="Times New Roman" w:cs="Times New Roman"/>
                <w:sz w:val="24"/>
                <w:szCs w:val="24"/>
              </w:rPr>
            </w:pPr>
            <w:r>
              <w:rPr>
                <w:rFonts w:ascii="Times New Roman" w:hAnsi="Times New Roman" w:cs="Times New Roman"/>
                <w:sz w:val="24"/>
                <w:szCs w:val="24"/>
              </w:rPr>
              <w:t>32</w:t>
            </w:r>
          </w:p>
        </w:tc>
        <w:tc>
          <w:tcPr>
            <w:tcW w:w="5477" w:type="dxa"/>
            <w:vMerge w:val="restart"/>
          </w:tcPr>
          <w:p w14:paraId="4618D6DC" w14:textId="183FFA32" w:rsidR="00E50129" w:rsidRPr="00E25F86" w:rsidRDefault="00E25F86" w:rsidP="00E50129">
            <w:pPr>
              <w:jc w:val="both"/>
              <w:rPr>
                <w:rFonts w:ascii="Times New Roman" w:hAnsi="Times New Roman" w:cs="Times New Roman"/>
                <w:sz w:val="24"/>
                <w:szCs w:val="24"/>
              </w:rPr>
            </w:pPr>
            <w:r w:rsidRPr="00E25F86">
              <w:rPr>
                <w:rFonts w:ascii="Times New Roman" w:hAnsi="Times New Roman" w:cs="Times New Roman"/>
                <w:sz w:val="24"/>
                <w:szCs w:val="24"/>
              </w:rPr>
              <w:t>Ekonomik ve finansal piyasaları etkileyen diğer faktörlerin analizi ve beklentilere göre oluşacak yatırım öngörüsü doğrultusunda TL cinsi para ve sermaye piyasası araçlarına, taraf olunacak sözleşmelere, finansal işlemlere ve menkul kıymetlere ve Kurulca uygun görülen diğer yatırım araçlarına yatırım yaparak sermaye kazancı ve faiz geliri sağlamak ve portföy değerini artırmayı amaçlamaktadır. Bu doğrultuda temel ve teknik analiz yöntemleri kullanılarak fiyatı yükselmesi beklenen varlıklara yatırım yapılarak gelir yaratmaya çalışılacaktır.</w:t>
            </w:r>
          </w:p>
        </w:tc>
      </w:tr>
      <w:tr w:rsidR="00E50129" w:rsidRPr="00BE37F7" w14:paraId="1F67F208" w14:textId="77777777" w:rsidTr="008260F4">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687" w:type="dxa"/>
          </w:tcPr>
          <w:p w14:paraId="2E8AB30D" w14:textId="7E8A3270" w:rsidR="00E50129" w:rsidRPr="00BE37F7" w:rsidRDefault="00A9772D" w:rsidP="00236423">
            <w:pPr>
              <w:jc w:val="right"/>
              <w:rPr>
                <w:rFonts w:ascii="Times New Roman" w:hAnsi="Times New Roman" w:cs="Times New Roman"/>
                <w:sz w:val="24"/>
                <w:szCs w:val="24"/>
              </w:rPr>
            </w:pPr>
            <w:r>
              <w:rPr>
                <w:rFonts w:ascii="Times New Roman" w:hAnsi="Times New Roman" w:cs="Times New Roman"/>
                <w:sz w:val="24"/>
                <w:szCs w:val="24"/>
              </w:rPr>
              <w:t>1,02</w:t>
            </w:r>
          </w:p>
        </w:tc>
        <w:tc>
          <w:tcPr>
            <w:tcW w:w="5477"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8260F4">
        <w:trPr>
          <w:trHeight w:val="272"/>
        </w:trPr>
        <w:tc>
          <w:tcPr>
            <w:tcW w:w="3510"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477"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8260F4">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687" w:type="dxa"/>
          </w:tcPr>
          <w:p w14:paraId="2A07B50C" w14:textId="7D521ED5" w:rsidR="00F70D62" w:rsidRPr="00BE37F7" w:rsidRDefault="00AB62AB" w:rsidP="006A0773">
            <w:pPr>
              <w:jc w:val="right"/>
              <w:rPr>
                <w:rFonts w:ascii="Times New Roman" w:hAnsi="Times New Roman" w:cs="Times New Roman"/>
                <w:sz w:val="24"/>
                <w:szCs w:val="24"/>
              </w:rPr>
            </w:pPr>
            <w:r>
              <w:rPr>
                <w:rFonts w:ascii="Times New Roman" w:hAnsi="Times New Roman" w:cs="Times New Roman"/>
                <w:sz w:val="24"/>
                <w:szCs w:val="24"/>
              </w:rPr>
              <w:t>86,97</w:t>
            </w:r>
          </w:p>
        </w:tc>
        <w:tc>
          <w:tcPr>
            <w:tcW w:w="5477" w:type="dxa"/>
            <w:vMerge/>
          </w:tcPr>
          <w:p w14:paraId="04B95A51" w14:textId="77777777" w:rsidR="00F70D62" w:rsidRPr="00BE37F7" w:rsidRDefault="00F70D62" w:rsidP="00A05B08">
            <w:pPr>
              <w:rPr>
                <w:rFonts w:ascii="Times New Roman" w:hAnsi="Times New Roman" w:cs="Times New Roman"/>
                <w:sz w:val="24"/>
                <w:szCs w:val="24"/>
              </w:rPr>
            </w:pPr>
          </w:p>
        </w:tc>
      </w:tr>
      <w:tr w:rsidR="00F70D62" w:rsidRPr="00BE37F7" w14:paraId="57BEFF50" w14:textId="77777777" w:rsidTr="008260F4">
        <w:trPr>
          <w:trHeight w:val="546"/>
        </w:trPr>
        <w:tc>
          <w:tcPr>
            <w:tcW w:w="1823" w:type="dxa"/>
          </w:tcPr>
          <w:p w14:paraId="535515B9" w14:textId="47ABA88A" w:rsidR="00F70D62" w:rsidRPr="00BE37F7" w:rsidRDefault="006E6949"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687" w:type="dxa"/>
          </w:tcPr>
          <w:p w14:paraId="022F34B9" w14:textId="31C49A00" w:rsidR="00F70D62" w:rsidRPr="00BE37F7" w:rsidRDefault="00754EA2" w:rsidP="00D06446">
            <w:pPr>
              <w:jc w:val="right"/>
              <w:rPr>
                <w:rFonts w:ascii="Times New Roman" w:hAnsi="Times New Roman" w:cs="Times New Roman"/>
                <w:sz w:val="24"/>
                <w:szCs w:val="24"/>
              </w:rPr>
            </w:pPr>
            <w:r>
              <w:rPr>
                <w:rFonts w:ascii="Times New Roman" w:hAnsi="Times New Roman" w:cs="Times New Roman"/>
                <w:sz w:val="24"/>
                <w:szCs w:val="24"/>
              </w:rPr>
              <w:t>3,60</w:t>
            </w:r>
          </w:p>
        </w:tc>
        <w:tc>
          <w:tcPr>
            <w:tcW w:w="5477" w:type="dxa"/>
            <w:vMerge/>
          </w:tcPr>
          <w:p w14:paraId="680660DD" w14:textId="77777777" w:rsidR="00F70D62" w:rsidRPr="00BE37F7" w:rsidRDefault="00F70D62" w:rsidP="00A05B08">
            <w:pPr>
              <w:rPr>
                <w:rFonts w:ascii="Times New Roman" w:hAnsi="Times New Roman" w:cs="Times New Roman"/>
                <w:sz w:val="24"/>
                <w:szCs w:val="24"/>
              </w:rPr>
            </w:pPr>
          </w:p>
        </w:tc>
      </w:tr>
      <w:tr w:rsidR="00F70D62" w:rsidRPr="00BE37F7" w14:paraId="1F33CD0F" w14:textId="77777777" w:rsidTr="008260F4">
        <w:trPr>
          <w:trHeight w:val="272"/>
        </w:trPr>
        <w:tc>
          <w:tcPr>
            <w:tcW w:w="1823" w:type="dxa"/>
            <w:tcBorders>
              <w:bottom w:val="single" w:sz="4" w:space="0" w:color="auto"/>
            </w:tcBorders>
          </w:tcPr>
          <w:p w14:paraId="555588A9" w14:textId="77777777" w:rsidR="00F70D62" w:rsidRPr="00BE37F7" w:rsidRDefault="00F70D62" w:rsidP="00AF3A9D">
            <w:pPr>
              <w:rPr>
                <w:rFonts w:ascii="Times New Roman" w:hAnsi="Times New Roman" w:cs="Times New Roman"/>
                <w:sz w:val="24"/>
                <w:szCs w:val="24"/>
              </w:rPr>
            </w:pPr>
            <w:r w:rsidRPr="00BE37F7">
              <w:rPr>
                <w:rFonts w:ascii="Times New Roman" w:hAnsi="Times New Roman" w:cs="Times New Roman"/>
                <w:sz w:val="24"/>
                <w:szCs w:val="24"/>
              </w:rPr>
              <w:t>Mevduat</w:t>
            </w:r>
          </w:p>
        </w:tc>
        <w:tc>
          <w:tcPr>
            <w:tcW w:w="1687" w:type="dxa"/>
            <w:tcBorders>
              <w:bottom w:val="single" w:sz="4" w:space="0" w:color="auto"/>
            </w:tcBorders>
          </w:tcPr>
          <w:p w14:paraId="4D68AB1D" w14:textId="2B7E2924" w:rsidR="00F70D62" w:rsidRPr="00BE37F7" w:rsidRDefault="00B87B3D" w:rsidP="00D06446">
            <w:pPr>
              <w:jc w:val="right"/>
              <w:rPr>
                <w:rFonts w:ascii="Times New Roman" w:hAnsi="Times New Roman" w:cs="Times New Roman"/>
                <w:sz w:val="24"/>
                <w:szCs w:val="24"/>
              </w:rPr>
            </w:pPr>
            <w:r>
              <w:rPr>
                <w:rFonts w:ascii="Times New Roman" w:hAnsi="Times New Roman" w:cs="Times New Roman"/>
                <w:sz w:val="24"/>
                <w:szCs w:val="24"/>
              </w:rPr>
              <w:t>0,</w:t>
            </w:r>
            <w:r w:rsidR="00754EA2">
              <w:rPr>
                <w:rFonts w:ascii="Times New Roman" w:hAnsi="Times New Roman" w:cs="Times New Roman"/>
                <w:sz w:val="24"/>
                <w:szCs w:val="24"/>
              </w:rPr>
              <w:t>02</w:t>
            </w:r>
          </w:p>
        </w:tc>
        <w:tc>
          <w:tcPr>
            <w:tcW w:w="5477" w:type="dxa"/>
            <w:vMerge/>
          </w:tcPr>
          <w:p w14:paraId="43794AB5" w14:textId="77777777" w:rsidR="00F70D62" w:rsidRPr="00BE37F7" w:rsidRDefault="00F70D62" w:rsidP="00AF3A9D">
            <w:pPr>
              <w:rPr>
                <w:rFonts w:ascii="Times New Roman" w:hAnsi="Times New Roman" w:cs="Times New Roman"/>
                <w:sz w:val="24"/>
                <w:szCs w:val="24"/>
              </w:rPr>
            </w:pPr>
          </w:p>
        </w:tc>
      </w:tr>
      <w:tr w:rsidR="00AB62AB" w:rsidRPr="00BE37F7" w14:paraId="1D2739A8" w14:textId="77777777" w:rsidTr="008260F4">
        <w:trPr>
          <w:trHeight w:val="272"/>
        </w:trPr>
        <w:tc>
          <w:tcPr>
            <w:tcW w:w="1823" w:type="dxa"/>
            <w:tcBorders>
              <w:bottom w:val="single" w:sz="4" w:space="0" w:color="auto"/>
            </w:tcBorders>
          </w:tcPr>
          <w:p w14:paraId="3F9DDA97" w14:textId="3AFD5AAE" w:rsidR="00AB62AB" w:rsidRPr="00BE37F7" w:rsidRDefault="00AB62AB" w:rsidP="00AF3A9D">
            <w:pPr>
              <w:rPr>
                <w:rFonts w:ascii="Times New Roman" w:hAnsi="Times New Roman" w:cs="Times New Roman"/>
                <w:sz w:val="24"/>
                <w:szCs w:val="24"/>
              </w:rPr>
            </w:pPr>
            <w:r>
              <w:rPr>
                <w:rFonts w:ascii="Times New Roman" w:hAnsi="Times New Roman" w:cs="Times New Roman"/>
                <w:sz w:val="24"/>
                <w:szCs w:val="24"/>
              </w:rPr>
              <w:t xml:space="preserve">Nakit Teminat </w:t>
            </w:r>
          </w:p>
        </w:tc>
        <w:tc>
          <w:tcPr>
            <w:tcW w:w="1687" w:type="dxa"/>
            <w:tcBorders>
              <w:bottom w:val="single" w:sz="4" w:space="0" w:color="auto"/>
            </w:tcBorders>
          </w:tcPr>
          <w:p w14:paraId="25D7B6F6" w14:textId="40B7F1D7" w:rsidR="00AB62AB" w:rsidRDefault="00AB62AB" w:rsidP="00D06446">
            <w:pPr>
              <w:jc w:val="right"/>
              <w:rPr>
                <w:rFonts w:ascii="Times New Roman" w:hAnsi="Times New Roman" w:cs="Times New Roman"/>
                <w:sz w:val="24"/>
                <w:szCs w:val="24"/>
              </w:rPr>
            </w:pPr>
            <w:r>
              <w:rPr>
                <w:rFonts w:ascii="Times New Roman" w:hAnsi="Times New Roman" w:cs="Times New Roman"/>
                <w:sz w:val="24"/>
                <w:szCs w:val="24"/>
              </w:rPr>
              <w:t>9,41</w:t>
            </w:r>
          </w:p>
        </w:tc>
        <w:tc>
          <w:tcPr>
            <w:tcW w:w="5477" w:type="dxa"/>
            <w:vMerge/>
          </w:tcPr>
          <w:p w14:paraId="5F92C89E" w14:textId="77777777" w:rsidR="00AB62AB" w:rsidRPr="00BE37F7" w:rsidRDefault="00AB62AB" w:rsidP="00AF3A9D">
            <w:pPr>
              <w:rPr>
                <w:rFonts w:ascii="Times New Roman" w:hAnsi="Times New Roman" w:cs="Times New Roman"/>
                <w:sz w:val="24"/>
                <w:szCs w:val="24"/>
              </w:rPr>
            </w:pPr>
          </w:p>
        </w:tc>
      </w:tr>
      <w:tr w:rsidR="00E50129" w:rsidRPr="00BE37F7" w14:paraId="14327E3C" w14:textId="77777777" w:rsidTr="008260F4">
        <w:trPr>
          <w:trHeight w:val="272"/>
        </w:trPr>
        <w:tc>
          <w:tcPr>
            <w:tcW w:w="3510"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477"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8260F4">
        <w:trPr>
          <w:trHeight w:val="484"/>
        </w:trPr>
        <w:tc>
          <w:tcPr>
            <w:tcW w:w="1823"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687"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8260F4">
        <w:trPr>
          <w:trHeight w:val="272"/>
        </w:trPr>
        <w:tc>
          <w:tcPr>
            <w:tcW w:w="8987"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9124" w:type="dxa"/>
        <w:tblCellMar>
          <w:left w:w="70" w:type="dxa"/>
          <w:right w:w="70" w:type="dxa"/>
        </w:tblCellMar>
        <w:tblLook w:val="04A0" w:firstRow="1" w:lastRow="0" w:firstColumn="1" w:lastColumn="0" w:noHBand="0" w:noVBand="1"/>
      </w:tblPr>
      <w:tblGrid>
        <w:gridCol w:w="882"/>
        <w:gridCol w:w="761"/>
        <w:gridCol w:w="1608"/>
        <w:gridCol w:w="1003"/>
        <w:gridCol w:w="1196"/>
        <w:gridCol w:w="1210"/>
        <w:gridCol w:w="1039"/>
        <w:gridCol w:w="1511"/>
      </w:tblGrid>
      <w:tr w:rsidR="00AF34F7" w:rsidRPr="00AF34F7" w14:paraId="0A6B56B2" w14:textId="77777777" w:rsidTr="00AF34F7">
        <w:trPr>
          <w:trHeight w:val="1093"/>
        </w:trPr>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01DCF"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Yıllar</w:t>
            </w:r>
          </w:p>
        </w:tc>
        <w:tc>
          <w:tcPr>
            <w:tcW w:w="761" w:type="dxa"/>
            <w:tcBorders>
              <w:top w:val="single" w:sz="4" w:space="0" w:color="auto"/>
              <w:left w:val="nil"/>
              <w:bottom w:val="single" w:sz="4" w:space="0" w:color="auto"/>
              <w:right w:val="single" w:sz="4" w:space="0" w:color="auto"/>
            </w:tcBorders>
            <w:shd w:val="clear" w:color="auto" w:fill="auto"/>
            <w:vAlign w:val="center"/>
            <w:hideMark/>
          </w:tcPr>
          <w:p w14:paraId="4B24724E"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Toplam Getiri (%)</w:t>
            </w:r>
          </w:p>
        </w:tc>
        <w:tc>
          <w:tcPr>
            <w:tcW w:w="1608" w:type="dxa"/>
            <w:tcBorders>
              <w:top w:val="single" w:sz="4" w:space="0" w:color="auto"/>
              <w:left w:val="nil"/>
              <w:bottom w:val="single" w:sz="4" w:space="0" w:color="auto"/>
              <w:right w:val="single" w:sz="4" w:space="0" w:color="auto"/>
            </w:tcBorders>
            <w:shd w:val="clear" w:color="auto" w:fill="auto"/>
            <w:vAlign w:val="center"/>
            <w:hideMark/>
          </w:tcPr>
          <w:p w14:paraId="5041E796"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Karşılaştırma Ölçütünün Getirisi/Eşik Değer (%) (*)</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14:paraId="0B5E49C0"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AF34F7">
              <w:rPr>
                <w:rFonts w:ascii="Times New Roman" w:eastAsia="Times New Roman" w:hAnsi="Times New Roman" w:cs="Times New Roman"/>
                <w:b/>
                <w:bCs/>
                <w:color w:val="000000"/>
                <w:sz w:val="18"/>
                <w:szCs w:val="18"/>
                <w:lang w:eastAsia="tr-TR"/>
              </w:rPr>
              <w:t>Üfe</w:t>
            </w:r>
            <w:proofErr w:type="spellEnd"/>
            <w:r w:rsidRPr="00AF34F7">
              <w:rPr>
                <w:rFonts w:ascii="Times New Roman" w:eastAsia="Times New Roman" w:hAnsi="Times New Roman" w:cs="Times New Roman"/>
                <w:b/>
                <w:bCs/>
                <w:color w:val="000000"/>
                <w:sz w:val="18"/>
                <w:szCs w:val="18"/>
                <w:lang w:eastAsia="tr-TR"/>
              </w:rPr>
              <w:t xml:space="preserve"> Enflasyon Oranı (%) (**)</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3B3FFF93"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Portföyün Zaman İçinde Standart Sapması (%)</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213C866B"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Karşılaştırma Ölçütünün Standart Sapması (%)</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9FD6C72"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Bilgi Rasyosu</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7A362661" w14:textId="77777777" w:rsidR="00AF34F7" w:rsidRPr="00AF34F7" w:rsidRDefault="00AF34F7" w:rsidP="00AF34F7">
            <w:pPr>
              <w:spacing w:after="0" w:line="240" w:lineRule="auto"/>
              <w:jc w:val="center"/>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Sunuma Dahil Dönem Sonu Portföyün Toplam Değeri</w:t>
            </w:r>
          </w:p>
        </w:tc>
      </w:tr>
      <w:tr w:rsidR="00AF34F7" w:rsidRPr="00AF34F7" w14:paraId="31D507E6" w14:textId="77777777" w:rsidTr="00AF34F7">
        <w:trPr>
          <w:trHeight w:val="499"/>
        </w:trPr>
        <w:tc>
          <w:tcPr>
            <w:tcW w:w="882" w:type="dxa"/>
            <w:tcBorders>
              <w:top w:val="nil"/>
              <w:left w:val="single" w:sz="4" w:space="0" w:color="auto"/>
              <w:bottom w:val="single" w:sz="4" w:space="0" w:color="auto"/>
              <w:right w:val="single" w:sz="4" w:space="0" w:color="auto"/>
            </w:tcBorders>
            <w:shd w:val="clear" w:color="auto" w:fill="auto"/>
            <w:noWrap/>
            <w:vAlign w:val="center"/>
            <w:hideMark/>
          </w:tcPr>
          <w:p w14:paraId="52E99D17" w14:textId="77777777" w:rsidR="00AF34F7" w:rsidRPr="00AF34F7" w:rsidRDefault="00AF34F7" w:rsidP="00AF34F7">
            <w:pPr>
              <w:spacing w:after="0" w:line="240" w:lineRule="auto"/>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2022</w:t>
            </w:r>
          </w:p>
        </w:tc>
        <w:tc>
          <w:tcPr>
            <w:tcW w:w="761" w:type="dxa"/>
            <w:tcBorders>
              <w:top w:val="nil"/>
              <w:left w:val="nil"/>
              <w:bottom w:val="single" w:sz="4" w:space="0" w:color="auto"/>
              <w:right w:val="single" w:sz="4" w:space="0" w:color="auto"/>
            </w:tcBorders>
            <w:shd w:val="clear" w:color="auto" w:fill="auto"/>
            <w:noWrap/>
            <w:vAlign w:val="center"/>
            <w:hideMark/>
          </w:tcPr>
          <w:p w14:paraId="673C5E8F"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1382,17</w:t>
            </w:r>
          </w:p>
        </w:tc>
        <w:tc>
          <w:tcPr>
            <w:tcW w:w="1608" w:type="dxa"/>
            <w:tcBorders>
              <w:top w:val="nil"/>
              <w:left w:val="nil"/>
              <w:bottom w:val="single" w:sz="4" w:space="0" w:color="auto"/>
              <w:right w:val="single" w:sz="4" w:space="0" w:color="auto"/>
            </w:tcBorders>
            <w:shd w:val="clear" w:color="auto" w:fill="auto"/>
            <w:noWrap/>
            <w:vAlign w:val="center"/>
            <w:hideMark/>
          </w:tcPr>
          <w:p w14:paraId="120480AC"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115,500</w:t>
            </w:r>
          </w:p>
        </w:tc>
        <w:tc>
          <w:tcPr>
            <w:tcW w:w="1003" w:type="dxa"/>
            <w:tcBorders>
              <w:top w:val="nil"/>
              <w:left w:val="nil"/>
              <w:bottom w:val="single" w:sz="4" w:space="0" w:color="auto"/>
              <w:right w:val="single" w:sz="4" w:space="0" w:color="auto"/>
            </w:tcBorders>
            <w:shd w:val="clear" w:color="auto" w:fill="auto"/>
            <w:noWrap/>
            <w:vAlign w:val="center"/>
            <w:hideMark/>
          </w:tcPr>
          <w:p w14:paraId="51C90F77"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42,01</w:t>
            </w:r>
          </w:p>
        </w:tc>
        <w:tc>
          <w:tcPr>
            <w:tcW w:w="1196" w:type="dxa"/>
            <w:tcBorders>
              <w:top w:val="nil"/>
              <w:left w:val="nil"/>
              <w:bottom w:val="single" w:sz="4" w:space="0" w:color="auto"/>
              <w:right w:val="single" w:sz="4" w:space="0" w:color="auto"/>
            </w:tcBorders>
            <w:shd w:val="clear" w:color="auto" w:fill="auto"/>
            <w:noWrap/>
            <w:vAlign w:val="center"/>
            <w:hideMark/>
          </w:tcPr>
          <w:p w14:paraId="29631EED"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3,98</w:t>
            </w:r>
          </w:p>
        </w:tc>
        <w:tc>
          <w:tcPr>
            <w:tcW w:w="1124" w:type="dxa"/>
            <w:tcBorders>
              <w:top w:val="nil"/>
              <w:left w:val="nil"/>
              <w:bottom w:val="single" w:sz="4" w:space="0" w:color="auto"/>
              <w:right w:val="single" w:sz="4" w:space="0" w:color="auto"/>
            </w:tcBorders>
            <w:shd w:val="clear" w:color="auto" w:fill="auto"/>
            <w:vAlign w:val="center"/>
            <w:hideMark/>
          </w:tcPr>
          <w:p w14:paraId="5AA623A4"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0,04</w:t>
            </w:r>
          </w:p>
        </w:tc>
        <w:tc>
          <w:tcPr>
            <w:tcW w:w="1039" w:type="dxa"/>
            <w:tcBorders>
              <w:top w:val="nil"/>
              <w:left w:val="nil"/>
              <w:bottom w:val="single" w:sz="4" w:space="0" w:color="auto"/>
              <w:right w:val="single" w:sz="4" w:space="0" w:color="auto"/>
            </w:tcBorders>
            <w:shd w:val="clear" w:color="auto" w:fill="auto"/>
            <w:noWrap/>
            <w:vAlign w:val="center"/>
            <w:hideMark/>
          </w:tcPr>
          <w:p w14:paraId="32B2379A"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1,19</w:t>
            </w:r>
          </w:p>
        </w:tc>
        <w:tc>
          <w:tcPr>
            <w:tcW w:w="1511" w:type="dxa"/>
            <w:tcBorders>
              <w:top w:val="nil"/>
              <w:left w:val="nil"/>
              <w:bottom w:val="single" w:sz="4" w:space="0" w:color="auto"/>
              <w:right w:val="single" w:sz="4" w:space="0" w:color="auto"/>
            </w:tcBorders>
            <w:shd w:val="clear" w:color="auto" w:fill="auto"/>
            <w:noWrap/>
            <w:vAlign w:val="center"/>
            <w:hideMark/>
          </w:tcPr>
          <w:p w14:paraId="7A0BCD6F"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 xml:space="preserve">                              66.537.701,26 </w:t>
            </w:r>
          </w:p>
        </w:tc>
      </w:tr>
      <w:tr w:rsidR="00AF34F7" w:rsidRPr="00AF34F7" w14:paraId="53FB8ED5" w14:textId="77777777" w:rsidTr="00AF34F7">
        <w:trPr>
          <w:trHeight w:val="270"/>
        </w:trPr>
        <w:tc>
          <w:tcPr>
            <w:tcW w:w="882" w:type="dxa"/>
            <w:tcBorders>
              <w:top w:val="nil"/>
              <w:left w:val="single" w:sz="4" w:space="0" w:color="auto"/>
              <w:bottom w:val="single" w:sz="4" w:space="0" w:color="auto"/>
              <w:right w:val="single" w:sz="4" w:space="0" w:color="auto"/>
            </w:tcBorders>
            <w:shd w:val="clear" w:color="auto" w:fill="auto"/>
            <w:noWrap/>
            <w:vAlign w:val="center"/>
            <w:hideMark/>
          </w:tcPr>
          <w:p w14:paraId="549CBDAC" w14:textId="77777777" w:rsidR="00AF34F7" w:rsidRPr="00AF34F7" w:rsidRDefault="00AF34F7" w:rsidP="00AF34F7">
            <w:pPr>
              <w:spacing w:after="0" w:line="240" w:lineRule="auto"/>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2023</w:t>
            </w:r>
          </w:p>
        </w:tc>
        <w:tc>
          <w:tcPr>
            <w:tcW w:w="761" w:type="dxa"/>
            <w:tcBorders>
              <w:top w:val="nil"/>
              <w:left w:val="nil"/>
              <w:bottom w:val="single" w:sz="4" w:space="0" w:color="auto"/>
              <w:right w:val="single" w:sz="4" w:space="0" w:color="auto"/>
            </w:tcBorders>
            <w:shd w:val="clear" w:color="auto" w:fill="auto"/>
            <w:noWrap/>
            <w:vAlign w:val="center"/>
            <w:hideMark/>
          </w:tcPr>
          <w:p w14:paraId="1C255564"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277,91</w:t>
            </w:r>
          </w:p>
        </w:tc>
        <w:tc>
          <w:tcPr>
            <w:tcW w:w="1608" w:type="dxa"/>
            <w:tcBorders>
              <w:top w:val="nil"/>
              <w:left w:val="nil"/>
              <w:bottom w:val="single" w:sz="4" w:space="0" w:color="auto"/>
              <w:right w:val="single" w:sz="4" w:space="0" w:color="auto"/>
            </w:tcBorders>
            <w:shd w:val="clear" w:color="auto" w:fill="auto"/>
            <w:noWrap/>
            <w:vAlign w:val="center"/>
            <w:hideMark/>
          </w:tcPr>
          <w:p w14:paraId="5F499200"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37,050</w:t>
            </w:r>
          </w:p>
        </w:tc>
        <w:tc>
          <w:tcPr>
            <w:tcW w:w="1003" w:type="dxa"/>
            <w:tcBorders>
              <w:top w:val="nil"/>
              <w:left w:val="nil"/>
              <w:bottom w:val="single" w:sz="4" w:space="0" w:color="auto"/>
              <w:right w:val="single" w:sz="4" w:space="0" w:color="auto"/>
            </w:tcBorders>
            <w:shd w:val="clear" w:color="auto" w:fill="auto"/>
            <w:noWrap/>
            <w:vAlign w:val="center"/>
            <w:hideMark/>
          </w:tcPr>
          <w:p w14:paraId="2472FE71"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44,22</w:t>
            </w:r>
          </w:p>
        </w:tc>
        <w:tc>
          <w:tcPr>
            <w:tcW w:w="1196" w:type="dxa"/>
            <w:tcBorders>
              <w:top w:val="nil"/>
              <w:left w:val="nil"/>
              <w:bottom w:val="single" w:sz="4" w:space="0" w:color="auto"/>
              <w:right w:val="single" w:sz="4" w:space="0" w:color="auto"/>
            </w:tcBorders>
            <w:shd w:val="clear" w:color="auto" w:fill="auto"/>
            <w:noWrap/>
            <w:vAlign w:val="center"/>
            <w:hideMark/>
          </w:tcPr>
          <w:p w14:paraId="6A97F2DD"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4,82</w:t>
            </w:r>
          </w:p>
        </w:tc>
        <w:tc>
          <w:tcPr>
            <w:tcW w:w="1124" w:type="dxa"/>
            <w:tcBorders>
              <w:top w:val="nil"/>
              <w:left w:val="nil"/>
              <w:bottom w:val="single" w:sz="4" w:space="0" w:color="auto"/>
              <w:right w:val="single" w:sz="4" w:space="0" w:color="auto"/>
            </w:tcBorders>
            <w:shd w:val="clear" w:color="auto" w:fill="auto"/>
            <w:vAlign w:val="center"/>
            <w:hideMark/>
          </w:tcPr>
          <w:p w14:paraId="624D02DE"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0,07</w:t>
            </w:r>
          </w:p>
        </w:tc>
        <w:tc>
          <w:tcPr>
            <w:tcW w:w="1039" w:type="dxa"/>
            <w:tcBorders>
              <w:top w:val="nil"/>
              <w:left w:val="nil"/>
              <w:bottom w:val="single" w:sz="4" w:space="0" w:color="auto"/>
              <w:right w:val="single" w:sz="4" w:space="0" w:color="auto"/>
            </w:tcBorders>
            <w:shd w:val="clear" w:color="auto" w:fill="auto"/>
            <w:noWrap/>
            <w:vAlign w:val="center"/>
            <w:hideMark/>
          </w:tcPr>
          <w:p w14:paraId="3F73DEC8"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0,48</w:t>
            </w:r>
          </w:p>
        </w:tc>
        <w:tc>
          <w:tcPr>
            <w:tcW w:w="1511" w:type="dxa"/>
            <w:tcBorders>
              <w:top w:val="nil"/>
              <w:left w:val="nil"/>
              <w:bottom w:val="single" w:sz="4" w:space="0" w:color="auto"/>
              <w:right w:val="single" w:sz="4" w:space="0" w:color="auto"/>
            </w:tcBorders>
            <w:shd w:val="clear" w:color="auto" w:fill="auto"/>
            <w:noWrap/>
            <w:vAlign w:val="center"/>
            <w:hideMark/>
          </w:tcPr>
          <w:p w14:paraId="5B367A38"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 xml:space="preserve">                              13.127.951,14 </w:t>
            </w:r>
          </w:p>
        </w:tc>
      </w:tr>
      <w:tr w:rsidR="00AF34F7" w:rsidRPr="00AF34F7" w14:paraId="52C1536D" w14:textId="77777777" w:rsidTr="00AF34F7">
        <w:trPr>
          <w:trHeight w:val="270"/>
        </w:trPr>
        <w:tc>
          <w:tcPr>
            <w:tcW w:w="882" w:type="dxa"/>
            <w:tcBorders>
              <w:top w:val="nil"/>
              <w:left w:val="single" w:sz="4" w:space="0" w:color="auto"/>
              <w:bottom w:val="single" w:sz="4" w:space="0" w:color="auto"/>
              <w:right w:val="single" w:sz="4" w:space="0" w:color="auto"/>
            </w:tcBorders>
            <w:shd w:val="clear" w:color="auto" w:fill="auto"/>
            <w:noWrap/>
            <w:vAlign w:val="center"/>
            <w:hideMark/>
          </w:tcPr>
          <w:p w14:paraId="74A36F12" w14:textId="0A88B062" w:rsidR="00AF34F7" w:rsidRPr="00AF34F7" w:rsidRDefault="00AF34F7" w:rsidP="00AF34F7">
            <w:pPr>
              <w:spacing w:after="0" w:line="240" w:lineRule="auto"/>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61" w:type="dxa"/>
            <w:tcBorders>
              <w:top w:val="nil"/>
              <w:left w:val="nil"/>
              <w:bottom w:val="single" w:sz="4" w:space="0" w:color="auto"/>
              <w:right w:val="single" w:sz="4" w:space="0" w:color="auto"/>
            </w:tcBorders>
            <w:shd w:val="clear" w:color="auto" w:fill="auto"/>
            <w:noWrap/>
            <w:vAlign w:val="center"/>
            <w:hideMark/>
          </w:tcPr>
          <w:p w14:paraId="3CE902BF"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-16,85</w:t>
            </w:r>
          </w:p>
        </w:tc>
        <w:tc>
          <w:tcPr>
            <w:tcW w:w="1608" w:type="dxa"/>
            <w:tcBorders>
              <w:top w:val="nil"/>
              <w:left w:val="nil"/>
              <w:bottom w:val="single" w:sz="4" w:space="0" w:color="auto"/>
              <w:right w:val="single" w:sz="4" w:space="0" w:color="auto"/>
            </w:tcBorders>
            <w:shd w:val="clear" w:color="auto" w:fill="auto"/>
            <w:noWrap/>
            <w:vAlign w:val="center"/>
            <w:hideMark/>
          </w:tcPr>
          <w:p w14:paraId="521B20F1"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44,888</w:t>
            </w:r>
          </w:p>
        </w:tc>
        <w:tc>
          <w:tcPr>
            <w:tcW w:w="1003" w:type="dxa"/>
            <w:tcBorders>
              <w:top w:val="nil"/>
              <w:left w:val="nil"/>
              <w:bottom w:val="single" w:sz="4" w:space="0" w:color="auto"/>
              <w:right w:val="single" w:sz="4" w:space="0" w:color="auto"/>
            </w:tcBorders>
            <w:shd w:val="clear" w:color="auto" w:fill="auto"/>
            <w:noWrap/>
            <w:vAlign w:val="center"/>
            <w:hideMark/>
          </w:tcPr>
          <w:p w14:paraId="75CBA94B"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19,49</w:t>
            </w:r>
          </w:p>
        </w:tc>
        <w:tc>
          <w:tcPr>
            <w:tcW w:w="1196" w:type="dxa"/>
            <w:tcBorders>
              <w:top w:val="nil"/>
              <w:left w:val="nil"/>
              <w:bottom w:val="single" w:sz="4" w:space="0" w:color="auto"/>
              <w:right w:val="single" w:sz="4" w:space="0" w:color="auto"/>
            </w:tcBorders>
            <w:shd w:val="clear" w:color="auto" w:fill="auto"/>
            <w:noWrap/>
            <w:vAlign w:val="center"/>
            <w:hideMark/>
          </w:tcPr>
          <w:p w14:paraId="212AAA18"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3,31</w:t>
            </w:r>
          </w:p>
        </w:tc>
        <w:tc>
          <w:tcPr>
            <w:tcW w:w="1124" w:type="dxa"/>
            <w:tcBorders>
              <w:top w:val="nil"/>
              <w:left w:val="nil"/>
              <w:bottom w:val="single" w:sz="4" w:space="0" w:color="auto"/>
              <w:right w:val="single" w:sz="4" w:space="0" w:color="auto"/>
            </w:tcBorders>
            <w:shd w:val="clear" w:color="auto" w:fill="auto"/>
            <w:vAlign w:val="center"/>
            <w:hideMark/>
          </w:tcPr>
          <w:p w14:paraId="7CCC1A54"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0,14</w:t>
            </w:r>
          </w:p>
        </w:tc>
        <w:tc>
          <w:tcPr>
            <w:tcW w:w="1039" w:type="dxa"/>
            <w:tcBorders>
              <w:top w:val="nil"/>
              <w:left w:val="nil"/>
              <w:bottom w:val="single" w:sz="4" w:space="0" w:color="auto"/>
              <w:right w:val="single" w:sz="4" w:space="0" w:color="auto"/>
            </w:tcBorders>
            <w:shd w:val="clear" w:color="auto" w:fill="auto"/>
            <w:noWrap/>
            <w:vAlign w:val="center"/>
            <w:hideMark/>
          </w:tcPr>
          <w:p w14:paraId="3D1B10E3"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-0,42</w:t>
            </w:r>
          </w:p>
        </w:tc>
        <w:tc>
          <w:tcPr>
            <w:tcW w:w="1511" w:type="dxa"/>
            <w:tcBorders>
              <w:top w:val="nil"/>
              <w:left w:val="nil"/>
              <w:bottom w:val="single" w:sz="4" w:space="0" w:color="auto"/>
              <w:right w:val="single" w:sz="4" w:space="0" w:color="auto"/>
            </w:tcBorders>
            <w:shd w:val="clear" w:color="auto" w:fill="auto"/>
            <w:noWrap/>
            <w:vAlign w:val="center"/>
            <w:hideMark/>
          </w:tcPr>
          <w:p w14:paraId="52639E6B" w14:textId="77777777" w:rsidR="00AF34F7" w:rsidRPr="00AF34F7" w:rsidRDefault="00AF34F7" w:rsidP="00AF34F7">
            <w:pPr>
              <w:spacing w:after="0" w:line="240" w:lineRule="auto"/>
              <w:jc w:val="right"/>
              <w:rPr>
                <w:rFonts w:ascii="Times New Roman" w:eastAsia="Times New Roman" w:hAnsi="Times New Roman" w:cs="Times New Roman"/>
                <w:b/>
                <w:bCs/>
                <w:color w:val="000000"/>
                <w:sz w:val="18"/>
                <w:szCs w:val="18"/>
                <w:lang w:eastAsia="tr-TR"/>
              </w:rPr>
            </w:pPr>
            <w:r w:rsidRPr="00AF34F7">
              <w:rPr>
                <w:rFonts w:ascii="Times New Roman" w:eastAsia="Times New Roman" w:hAnsi="Times New Roman" w:cs="Times New Roman"/>
                <w:b/>
                <w:bCs/>
                <w:color w:val="000000"/>
                <w:sz w:val="18"/>
                <w:szCs w:val="18"/>
                <w:lang w:eastAsia="tr-TR"/>
              </w:rPr>
              <w:t xml:space="preserve">                              47.635.795,99 </w:t>
            </w:r>
          </w:p>
        </w:tc>
      </w:tr>
    </w:tbl>
    <w:p w14:paraId="7A161A44" w14:textId="77777777" w:rsidR="00106889" w:rsidRDefault="00106889" w:rsidP="00032E31">
      <w:pPr>
        <w:spacing w:after="0"/>
        <w:jc w:val="both"/>
        <w:rPr>
          <w:rFonts w:ascii="Times New Roman" w:hAnsi="Times New Roman" w:cs="Times New Roman"/>
          <w:sz w:val="24"/>
          <w:szCs w:val="24"/>
        </w:rPr>
      </w:pPr>
    </w:p>
    <w:p w14:paraId="6AF2A84F" w14:textId="77777777" w:rsidR="006C2A23" w:rsidRDefault="00030329"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5C70A1">
        <w:rPr>
          <w:rFonts w:ascii="Times New Roman" w:hAnsi="Times New Roman" w:cs="Times New Roman"/>
          <w:sz w:val="24"/>
          <w:szCs w:val="24"/>
        </w:rPr>
        <w:t>Eşik Değer</w:t>
      </w:r>
      <w:r>
        <w:rPr>
          <w:rFonts w:ascii="Times New Roman" w:hAnsi="Times New Roman" w:cs="Times New Roman"/>
          <w:sz w:val="24"/>
          <w:szCs w:val="24"/>
        </w:rPr>
        <w:t xml:space="preserve">: </w:t>
      </w:r>
      <w:r w:rsidR="006C2A23" w:rsidRPr="006C2A23">
        <w:rPr>
          <w:rFonts w:ascii="Times New Roman" w:hAnsi="Times New Roman" w:cs="Times New Roman"/>
          <w:sz w:val="24"/>
          <w:szCs w:val="24"/>
        </w:rPr>
        <w:t xml:space="preserve">%80 BIST 100 Getiri Endeksi + %20 BIST-KYD 1 Aylık Mevduat TL Endeksi’dir. </w:t>
      </w:r>
    </w:p>
    <w:p w14:paraId="74CD0119" w14:textId="14FAEA1F"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6C2A23">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684C7539"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kurulduğu </w:t>
      </w:r>
      <w:r w:rsidR="004D6AE1">
        <w:rPr>
          <w:rFonts w:ascii="Times New Roman" w:hAnsi="Times New Roman" w:cs="Times New Roman"/>
          <w:sz w:val="24"/>
          <w:szCs w:val="24"/>
        </w:rPr>
        <w:t>01.01.202</w:t>
      </w:r>
      <w:r w:rsidR="002223B1">
        <w:rPr>
          <w:rFonts w:ascii="Times New Roman" w:hAnsi="Times New Roman" w:cs="Times New Roman"/>
          <w:sz w:val="24"/>
          <w:szCs w:val="24"/>
        </w:rPr>
        <w:t>4</w:t>
      </w:r>
      <w:r w:rsidR="006C2A23">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F55070">
        <w:rPr>
          <w:rFonts w:ascii="Times New Roman" w:hAnsi="Times New Roman" w:cs="Times New Roman"/>
          <w:sz w:val="24"/>
          <w:szCs w:val="24"/>
        </w:rPr>
        <w:t>3</w:t>
      </w:r>
      <w:r w:rsidR="00C86B07">
        <w:rPr>
          <w:rFonts w:ascii="Times New Roman" w:hAnsi="Times New Roman" w:cs="Times New Roman"/>
          <w:sz w:val="24"/>
          <w:szCs w:val="24"/>
        </w:rPr>
        <w:t>0</w:t>
      </w:r>
      <w:r w:rsidR="00F55070">
        <w:rPr>
          <w:rFonts w:ascii="Times New Roman" w:hAnsi="Times New Roman" w:cs="Times New Roman"/>
          <w:sz w:val="24"/>
          <w:szCs w:val="24"/>
        </w:rPr>
        <w:t>.</w:t>
      </w:r>
      <w:r w:rsidR="00C86B07">
        <w:rPr>
          <w:rFonts w:ascii="Times New Roman" w:hAnsi="Times New Roman" w:cs="Times New Roman"/>
          <w:sz w:val="24"/>
          <w:szCs w:val="24"/>
        </w:rPr>
        <w:t>06</w:t>
      </w:r>
      <w:r w:rsidR="004D6AE1">
        <w:rPr>
          <w:rFonts w:ascii="Times New Roman" w:hAnsi="Times New Roman" w:cs="Times New Roman"/>
          <w:sz w:val="24"/>
          <w:szCs w:val="24"/>
        </w:rPr>
        <w:t>.202</w:t>
      </w:r>
      <w:r w:rsidR="00C86B07">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112D3129" w14:textId="77777777" w:rsidR="00BC4211" w:rsidRPr="00A779B1" w:rsidRDefault="002E2517" w:rsidP="005F5413">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0DC3A9B8" w14:textId="77777777" w:rsidR="00106889" w:rsidRDefault="00106889" w:rsidP="005F5413">
      <w:pPr>
        <w:spacing w:after="0"/>
        <w:ind w:left="705" w:hanging="705"/>
        <w:rPr>
          <w:rFonts w:ascii="Times New Roman" w:hAnsi="Times New Roman" w:cs="Times New Roman"/>
          <w:sz w:val="24"/>
          <w:szCs w:val="24"/>
        </w:rPr>
      </w:pPr>
    </w:p>
    <w:p w14:paraId="2652B7AF" w14:textId="77777777" w:rsidR="006858ED" w:rsidRDefault="006858ED" w:rsidP="005F5413">
      <w:pPr>
        <w:spacing w:after="0"/>
        <w:ind w:left="705" w:hanging="705"/>
        <w:rPr>
          <w:rFonts w:ascii="Times New Roman" w:hAnsi="Times New Roman" w:cs="Times New Roman"/>
          <w:sz w:val="24"/>
          <w:szCs w:val="24"/>
        </w:rPr>
      </w:pPr>
    </w:p>
    <w:p w14:paraId="4E5D851F" w14:textId="323F9871" w:rsidR="006858ED" w:rsidRDefault="006858ED" w:rsidP="005F5413">
      <w:pPr>
        <w:spacing w:after="0"/>
        <w:ind w:left="705" w:hanging="705"/>
        <w:rPr>
          <w:rFonts w:ascii="Times New Roman" w:hAnsi="Times New Roman" w:cs="Times New Roman"/>
          <w:sz w:val="24"/>
          <w:szCs w:val="24"/>
        </w:rPr>
      </w:pPr>
    </w:p>
    <w:p w14:paraId="4CC7EC82" w14:textId="2CC91FAE" w:rsidR="00CE6762" w:rsidRDefault="00CE6762" w:rsidP="005F5413">
      <w:pPr>
        <w:spacing w:after="0"/>
        <w:ind w:left="705" w:hanging="705"/>
        <w:rPr>
          <w:rFonts w:ascii="Times New Roman" w:hAnsi="Times New Roman" w:cs="Times New Roman"/>
          <w:sz w:val="24"/>
          <w:szCs w:val="24"/>
        </w:rPr>
      </w:pPr>
    </w:p>
    <w:p w14:paraId="3AD111A1" w14:textId="019E28E8" w:rsidR="00CE6762" w:rsidRDefault="00CE6762" w:rsidP="005F5413">
      <w:pPr>
        <w:spacing w:after="0"/>
        <w:ind w:left="705" w:hanging="705"/>
        <w:rPr>
          <w:rFonts w:ascii="Times New Roman" w:hAnsi="Times New Roman" w:cs="Times New Roman"/>
          <w:sz w:val="24"/>
          <w:szCs w:val="24"/>
        </w:rPr>
      </w:pPr>
    </w:p>
    <w:p w14:paraId="2B93F079" w14:textId="657D2188" w:rsidR="00CE6762" w:rsidRDefault="00CE6762" w:rsidP="005F5413">
      <w:pPr>
        <w:spacing w:after="0"/>
        <w:ind w:left="705" w:hanging="705"/>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0CBD02A8" w14:textId="4D2A249B" w:rsidR="008A214C" w:rsidRDefault="000C31C2" w:rsidP="008A214C">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37DA8FCC"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DF3BED">
        <w:rPr>
          <w:rFonts w:ascii="Times New Roman" w:hAnsi="Times New Roman" w:cs="Times New Roman"/>
          <w:sz w:val="24"/>
          <w:szCs w:val="24"/>
        </w:rPr>
        <w:t xml:space="preserve"> 16,85</w:t>
      </w:r>
      <w:r w:rsidR="00237C1F">
        <w:rPr>
          <w:rFonts w:ascii="Times New Roman" w:hAnsi="Times New Roman" w:cs="Times New Roman"/>
          <w:sz w:val="24"/>
          <w:szCs w:val="24"/>
        </w:rPr>
        <w:t xml:space="preserve"> </w:t>
      </w:r>
      <w:r w:rsidR="00DF3BED">
        <w:rPr>
          <w:rFonts w:ascii="Times New Roman" w:hAnsi="Times New Roman" w:cs="Times New Roman"/>
          <w:sz w:val="24"/>
          <w:szCs w:val="24"/>
        </w:rPr>
        <w:t>zarar</w:t>
      </w:r>
      <w:r w:rsidR="00ED76F3">
        <w:rPr>
          <w:rFonts w:ascii="Times New Roman" w:hAnsi="Times New Roman" w:cs="Times New Roman"/>
          <w:sz w:val="24"/>
          <w:szCs w:val="24"/>
        </w:rPr>
        <w:t xml:space="preserve"> 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72B4B7D4" w14:textId="77777777" w:rsidR="000D2789"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p>
    <w:tbl>
      <w:tblPr>
        <w:tblW w:w="8384" w:type="dxa"/>
        <w:tblInd w:w="356" w:type="dxa"/>
        <w:tblCellMar>
          <w:left w:w="70" w:type="dxa"/>
          <w:right w:w="70" w:type="dxa"/>
        </w:tblCellMar>
        <w:tblLook w:val="04A0" w:firstRow="1" w:lastRow="0" w:firstColumn="1" w:lastColumn="0" w:noHBand="0" w:noVBand="1"/>
      </w:tblPr>
      <w:tblGrid>
        <w:gridCol w:w="3448"/>
        <w:gridCol w:w="2484"/>
        <w:gridCol w:w="2452"/>
      </w:tblGrid>
      <w:tr w:rsidR="000D2789" w:rsidRPr="000D2789" w14:paraId="0F59D06C" w14:textId="77777777" w:rsidTr="000D2789">
        <w:trPr>
          <w:trHeight w:val="544"/>
        </w:trPr>
        <w:tc>
          <w:tcPr>
            <w:tcW w:w="344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9FD2E76"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Dönem Faaliyet Giderleri Dağılımı</w:t>
            </w:r>
          </w:p>
        </w:tc>
        <w:tc>
          <w:tcPr>
            <w:tcW w:w="2484" w:type="dxa"/>
            <w:tcBorders>
              <w:top w:val="single" w:sz="8" w:space="0" w:color="auto"/>
              <w:left w:val="nil"/>
              <w:bottom w:val="single" w:sz="4" w:space="0" w:color="auto"/>
              <w:right w:val="single" w:sz="4" w:space="0" w:color="auto"/>
            </w:tcBorders>
            <w:shd w:val="clear" w:color="auto" w:fill="auto"/>
            <w:vAlign w:val="center"/>
            <w:hideMark/>
          </w:tcPr>
          <w:p w14:paraId="20EC34D1"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Portföy Değerine Oranı (%)</w:t>
            </w:r>
          </w:p>
        </w:tc>
        <w:tc>
          <w:tcPr>
            <w:tcW w:w="2452" w:type="dxa"/>
            <w:tcBorders>
              <w:top w:val="single" w:sz="8" w:space="0" w:color="auto"/>
              <w:left w:val="nil"/>
              <w:bottom w:val="single" w:sz="4" w:space="0" w:color="auto"/>
              <w:right w:val="single" w:sz="8" w:space="0" w:color="auto"/>
            </w:tcBorders>
            <w:shd w:val="clear" w:color="auto" w:fill="auto"/>
            <w:vAlign w:val="center"/>
            <w:hideMark/>
          </w:tcPr>
          <w:p w14:paraId="20B30880"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Tutar (TL)</w:t>
            </w:r>
          </w:p>
        </w:tc>
      </w:tr>
      <w:tr w:rsidR="000D2789" w:rsidRPr="000D2789" w14:paraId="2F2E2389"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039D8260"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Yönetim Ücreti</w:t>
            </w:r>
          </w:p>
        </w:tc>
        <w:tc>
          <w:tcPr>
            <w:tcW w:w="2484" w:type="dxa"/>
            <w:tcBorders>
              <w:top w:val="nil"/>
              <w:left w:val="nil"/>
              <w:bottom w:val="single" w:sz="4" w:space="0" w:color="auto"/>
              <w:right w:val="single" w:sz="8" w:space="0" w:color="auto"/>
            </w:tcBorders>
            <w:shd w:val="clear" w:color="auto" w:fill="auto"/>
            <w:noWrap/>
            <w:vAlign w:val="center"/>
            <w:hideMark/>
          </w:tcPr>
          <w:p w14:paraId="4C9F46C2"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0.51</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156A6EEC"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76,587.14</w:t>
            </w:r>
          </w:p>
        </w:tc>
      </w:tr>
      <w:tr w:rsidR="000D2789" w:rsidRPr="000D2789" w14:paraId="050CED45"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18160368"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Komisyon ve Diğer İşlem Ücretleri</w:t>
            </w:r>
          </w:p>
        </w:tc>
        <w:tc>
          <w:tcPr>
            <w:tcW w:w="2484" w:type="dxa"/>
            <w:tcBorders>
              <w:top w:val="nil"/>
              <w:left w:val="nil"/>
              <w:bottom w:val="single" w:sz="4" w:space="0" w:color="auto"/>
              <w:right w:val="single" w:sz="8" w:space="0" w:color="auto"/>
            </w:tcBorders>
            <w:shd w:val="clear" w:color="auto" w:fill="auto"/>
            <w:noWrap/>
            <w:vAlign w:val="center"/>
            <w:hideMark/>
          </w:tcPr>
          <w:p w14:paraId="1F8D6EF2"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0.20</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0FE5FC4E"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29,692.70</w:t>
            </w:r>
          </w:p>
        </w:tc>
      </w:tr>
      <w:tr w:rsidR="000D2789" w:rsidRPr="000D2789" w14:paraId="75042CF6"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5BF714A1"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Saklama Ücreti</w:t>
            </w:r>
          </w:p>
        </w:tc>
        <w:tc>
          <w:tcPr>
            <w:tcW w:w="2484" w:type="dxa"/>
            <w:tcBorders>
              <w:top w:val="nil"/>
              <w:left w:val="nil"/>
              <w:bottom w:val="single" w:sz="4" w:space="0" w:color="auto"/>
              <w:right w:val="single" w:sz="8" w:space="0" w:color="auto"/>
            </w:tcBorders>
            <w:shd w:val="clear" w:color="auto" w:fill="auto"/>
            <w:noWrap/>
            <w:vAlign w:val="center"/>
            <w:hideMark/>
          </w:tcPr>
          <w:p w14:paraId="30DF56E8"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0.50</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0315C3C6"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76,170.12</w:t>
            </w:r>
          </w:p>
        </w:tc>
      </w:tr>
      <w:tr w:rsidR="000D2789" w:rsidRPr="000D2789" w14:paraId="0535F770"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3C3DD5C0"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Kurul Ücretleri</w:t>
            </w:r>
          </w:p>
        </w:tc>
        <w:tc>
          <w:tcPr>
            <w:tcW w:w="2484" w:type="dxa"/>
            <w:tcBorders>
              <w:top w:val="nil"/>
              <w:left w:val="nil"/>
              <w:bottom w:val="single" w:sz="4" w:space="0" w:color="auto"/>
              <w:right w:val="single" w:sz="8" w:space="0" w:color="auto"/>
            </w:tcBorders>
            <w:shd w:val="clear" w:color="auto" w:fill="auto"/>
            <w:noWrap/>
            <w:vAlign w:val="center"/>
            <w:hideMark/>
          </w:tcPr>
          <w:p w14:paraId="2B3E0563"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0.02</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05616A41"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2,675.17</w:t>
            </w:r>
          </w:p>
        </w:tc>
      </w:tr>
      <w:tr w:rsidR="000D2789" w:rsidRPr="000D2789" w14:paraId="2CFEE7E2"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02624388"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Bağımsız Denetim Ücreti</w:t>
            </w:r>
          </w:p>
        </w:tc>
        <w:tc>
          <w:tcPr>
            <w:tcW w:w="2484" w:type="dxa"/>
            <w:tcBorders>
              <w:top w:val="nil"/>
              <w:left w:val="nil"/>
              <w:bottom w:val="single" w:sz="4" w:space="0" w:color="auto"/>
              <w:right w:val="single" w:sz="8" w:space="0" w:color="auto"/>
            </w:tcBorders>
            <w:shd w:val="clear" w:color="auto" w:fill="auto"/>
            <w:noWrap/>
            <w:vAlign w:val="center"/>
            <w:hideMark/>
          </w:tcPr>
          <w:p w14:paraId="0EC56298"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0.07</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45641ED0"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10,584.88</w:t>
            </w:r>
          </w:p>
        </w:tc>
      </w:tr>
      <w:tr w:rsidR="000D2789" w:rsidRPr="000D2789" w14:paraId="7E016471" w14:textId="77777777" w:rsidTr="000D2789">
        <w:trPr>
          <w:trHeight w:val="272"/>
        </w:trPr>
        <w:tc>
          <w:tcPr>
            <w:tcW w:w="3448" w:type="dxa"/>
            <w:tcBorders>
              <w:top w:val="nil"/>
              <w:left w:val="single" w:sz="8" w:space="0" w:color="auto"/>
              <w:bottom w:val="single" w:sz="4" w:space="0" w:color="auto"/>
              <w:right w:val="single" w:sz="4" w:space="0" w:color="auto"/>
            </w:tcBorders>
            <w:shd w:val="clear" w:color="auto" w:fill="auto"/>
            <w:noWrap/>
            <w:vAlign w:val="center"/>
            <w:hideMark/>
          </w:tcPr>
          <w:p w14:paraId="4A12862B"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Diğer Giderler</w:t>
            </w:r>
          </w:p>
        </w:tc>
        <w:tc>
          <w:tcPr>
            <w:tcW w:w="2484" w:type="dxa"/>
            <w:tcBorders>
              <w:top w:val="nil"/>
              <w:left w:val="nil"/>
              <w:bottom w:val="single" w:sz="4" w:space="0" w:color="auto"/>
              <w:right w:val="single" w:sz="8" w:space="0" w:color="auto"/>
            </w:tcBorders>
            <w:shd w:val="clear" w:color="auto" w:fill="auto"/>
            <w:noWrap/>
            <w:vAlign w:val="center"/>
            <w:hideMark/>
          </w:tcPr>
          <w:p w14:paraId="43B1FAE2"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0.18</w:t>
            </w:r>
          </w:p>
        </w:tc>
        <w:tc>
          <w:tcPr>
            <w:tcW w:w="2452" w:type="dxa"/>
            <w:tcBorders>
              <w:top w:val="nil"/>
              <w:left w:val="single" w:sz="4" w:space="0" w:color="auto"/>
              <w:bottom w:val="single" w:sz="4" w:space="0" w:color="auto"/>
              <w:right w:val="single" w:sz="8" w:space="0" w:color="auto"/>
            </w:tcBorders>
            <w:shd w:val="clear" w:color="auto" w:fill="auto"/>
            <w:noWrap/>
            <w:vAlign w:val="center"/>
            <w:hideMark/>
          </w:tcPr>
          <w:p w14:paraId="1DF29316"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27,224.76</w:t>
            </w:r>
          </w:p>
        </w:tc>
      </w:tr>
      <w:tr w:rsidR="000D2789" w:rsidRPr="000D2789" w14:paraId="1602F1BF" w14:textId="77777777" w:rsidTr="000D2789">
        <w:trPr>
          <w:trHeight w:val="285"/>
        </w:trPr>
        <w:tc>
          <w:tcPr>
            <w:tcW w:w="3448" w:type="dxa"/>
            <w:tcBorders>
              <w:top w:val="nil"/>
              <w:left w:val="single" w:sz="8" w:space="0" w:color="auto"/>
              <w:bottom w:val="single" w:sz="8" w:space="0" w:color="auto"/>
              <w:right w:val="single" w:sz="4" w:space="0" w:color="auto"/>
            </w:tcBorders>
            <w:shd w:val="clear" w:color="auto" w:fill="auto"/>
            <w:noWrap/>
            <w:vAlign w:val="center"/>
            <w:hideMark/>
          </w:tcPr>
          <w:p w14:paraId="16773EC3" w14:textId="77777777" w:rsidR="000D2789" w:rsidRPr="000D2789" w:rsidRDefault="000D2789" w:rsidP="000D2789">
            <w:pPr>
              <w:spacing w:after="0" w:line="240" w:lineRule="auto"/>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Toplam</w:t>
            </w:r>
          </w:p>
        </w:tc>
        <w:tc>
          <w:tcPr>
            <w:tcW w:w="2484" w:type="dxa"/>
            <w:tcBorders>
              <w:top w:val="nil"/>
              <w:left w:val="nil"/>
              <w:bottom w:val="single" w:sz="8" w:space="0" w:color="auto"/>
              <w:right w:val="single" w:sz="4" w:space="0" w:color="auto"/>
            </w:tcBorders>
            <w:shd w:val="clear" w:color="auto" w:fill="auto"/>
            <w:noWrap/>
            <w:vAlign w:val="center"/>
            <w:hideMark/>
          </w:tcPr>
          <w:p w14:paraId="77AF6E1E"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1.47</w:t>
            </w:r>
          </w:p>
        </w:tc>
        <w:tc>
          <w:tcPr>
            <w:tcW w:w="2452" w:type="dxa"/>
            <w:tcBorders>
              <w:top w:val="nil"/>
              <w:left w:val="nil"/>
              <w:bottom w:val="single" w:sz="8" w:space="0" w:color="auto"/>
              <w:right w:val="single" w:sz="8" w:space="0" w:color="auto"/>
            </w:tcBorders>
            <w:shd w:val="clear" w:color="auto" w:fill="auto"/>
            <w:noWrap/>
            <w:vAlign w:val="center"/>
            <w:hideMark/>
          </w:tcPr>
          <w:p w14:paraId="20206658"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222,934.77</w:t>
            </w:r>
          </w:p>
        </w:tc>
      </w:tr>
      <w:tr w:rsidR="000D2789" w:rsidRPr="000D2789" w14:paraId="79A3A83E" w14:textId="77777777" w:rsidTr="000D2789">
        <w:trPr>
          <w:trHeight w:val="272"/>
        </w:trPr>
        <w:tc>
          <w:tcPr>
            <w:tcW w:w="3448" w:type="dxa"/>
            <w:tcBorders>
              <w:top w:val="nil"/>
              <w:left w:val="nil"/>
              <w:bottom w:val="nil"/>
              <w:right w:val="nil"/>
            </w:tcBorders>
            <w:shd w:val="clear" w:color="auto" w:fill="auto"/>
            <w:noWrap/>
            <w:vAlign w:val="center"/>
            <w:hideMark/>
          </w:tcPr>
          <w:p w14:paraId="0A00F392"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p>
        </w:tc>
        <w:tc>
          <w:tcPr>
            <w:tcW w:w="2484" w:type="dxa"/>
            <w:tcBorders>
              <w:top w:val="nil"/>
              <w:left w:val="nil"/>
              <w:bottom w:val="nil"/>
              <w:right w:val="nil"/>
            </w:tcBorders>
            <w:shd w:val="clear" w:color="auto" w:fill="auto"/>
            <w:noWrap/>
            <w:vAlign w:val="center"/>
            <w:hideMark/>
          </w:tcPr>
          <w:p w14:paraId="618CF0F1" w14:textId="77777777" w:rsidR="000D2789" w:rsidRPr="000D2789" w:rsidRDefault="000D2789" w:rsidP="000D2789">
            <w:pPr>
              <w:spacing w:after="0" w:line="240" w:lineRule="auto"/>
              <w:rPr>
                <w:rFonts w:ascii="Times New Roman" w:eastAsia="Times New Roman" w:hAnsi="Times New Roman" w:cs="Times New Roman"/>
                <w:sz w:val="20"/>
                <w:szCs w:val="20"/>
                <w:lang w:eastAsia="tr-TR"/>
              </w:rPr>
            </w:pPr>
          </w:p>
        </w:tc>
        <w:tc>
          <w:tcPr>
            <w:tcW w:w="2452" w:type="dxa"/>
            <w:tcBorders>
              <w:top w:val="nil"/>
              <w:left w:val="nil"/>
              <w:bottom w:val="nil"/>
              <w:right w:val="nil"/>
            </w:tcBorders>
            <w:shd w:val="clear" w:color="auto" w:fill="auto"/>
            <w:noWrap/>
            <w:vAlign w:val="center"/>
            <w:hideMark/>
          </w:tcPr>
          <w:p w14:paraId="770443A2" w14:textId="77777777" w:rsidR="000D2789" w:rsidRPr="000D2789" w:rsidRDefault="000D2789" w:rsidP="000D2789">
            <w:pPr>
              <w:spacing w:after="0" w:line="240" w:lineRule="auto"/>
              <w:rPr>
                <w:rFonts w:ascii="Times New Roman" w:eastAsia="Times New Roman" w:hAnsi="Times New Roman" w:cs="Times New Roman"/>
                <w:sz w:val="20"/>
                <w:szCs w:val="20"/>
                <w:lang w:eastAsia="tr-TR"/>
              </w:rPr>
            </w:pPr>
          </w:p>
        </w:tc>
      </w:tr>
      <w:tr w:rsidR="000D2789" w:rsidRPr="000D2789" w14:paraId="53451E8E" w14:textId="77777777" w:rsidTr="000D2789">
        <w:trPr>
          <w:trHeight w:val="285"/>
        </w:trPr>
        <w:tc>
          <w:tcPr>
            <w:tcW w:w="3448" w:type="dxa"/>
            <w:tcBorders>
              <w:top w:val="nil"/>
              <w:left w:val="nil"/>
              <w:bottom w:val="nil"/>
              <w:right w:val="nil"/>
            </w:tcBorders>
            <w:shd w:val="clear" w:color="auto" w:fill="auto"/>
            <w:noWrap/>
            <w:vAlign w:val="center"/>
            <w:hideMark/>
          </w:tcPr>
          <w:p w14:paraId="167A3F3F" w14:textId="77777777" w:rsidR="000D2789" w:rsidRPr="000D2789" w:rsidRDefault="000D2789" w:rsidP="000D2789">
            <w:pPr>
              <w:spacing w:after="0" w:line="240" w:lineRule="auto"/>
              <w:rPr>
                <w:rFonts w:ascii="Times New Roman" w:eastAsia="Times New Roman" w:hAnsi="Times New Roman" w:cs="Times New Roman"/>
                <w:sz w:val="20"/>
                <w:szCs w:val="20"/>
                <w:lang w:eastAsia="tr-TR"/>
              </w:rPr>
            </w:pPr>
          </w:p>
        </w:tc>
        <w:tc>
          <w:tcPr>
            <w:tcW w:w="2484" w:type="dxa"/>
            <w:tcBorders>
              <w:top w:val="nil"/>
              <w:left w:val="nil"/>
              <w:bottom w:val="nil"/>
              <w:right w:val="nil"/>
            </w:tcBorders>
            <w:shd w:val="clear" w:color="auto" w:fill="auto"/>
            <w:noWrap/>
            <w:vAlign w:val="center"/>
            <w:hideMark/>
          </w:tcPr>
          <w:p w14:paraId="6AD91CF1" w14:textId="77777777" w:rsidR="000D2789" w:rsidRPr="000D2789" w:rsidRDefault="000D2789" w:rsidP="000D2789">
            <w:pPr>
              <w:spacing w:after="0" w:line="240" w:lineRule="auto"/>
              <w:rPr>
                <w:rFonts w:ascii="Times New Roman" w:eastAsia="Times New Roman" w:hAnsi="Times New Roman" w:cs="Times New Roman"/>
                <w:sz w:val="20"/>
                <w:szCs w:val="20"/>
                <w:lang w:eastAsia="tr-TR"/>
              </w:rPr>
            </w:pPr>
          </w:p>
        </w:tc>
        <w:tc>
          <w:tcPr>
            <w:tcW w:w="2452" w:type="dxa"/>
            <w:tcBorders>
              <w:top w:val="nil"/>
              <w:left w:val="nil"/>
              <w:bottom w:val="nil"/>
              <w:right w:val="nil"/>
            </w:tcBorders>
            <w:shd w:val="clear" w:color="auto" w:fill="auto"/>
            <w:noWrap/>
            <w:vAlign w:val="center"/>
            <w:hideMark/>
          </w:tcPr>
          <w:p w14:paraId="26382737" w14:textId="77777777" w:rsidR="000D2789" w:rsidRPr="000D2789" w:rsidRDefault="000D2789" w:rsidP="000D2789">
            <w:pPr>
              <w:spacing w:after="0" w:line="240" w:lineRule="auto"/>
              <w:rPr>
                <w:rFonts w:ascii="Times New Roman" w:eastAsia="Times New Roman" w:hAnsi="Times New Roman" w:cs="Times New Roman"/>
                <w:sz w:val="20"/>
                <w:szCs w:val="20"/>
                <w:lang w:eastAsia="tr-TR"/>
              </w:rPr>
            </w:pPr>
          </w:p>
        </w:tc>
      </w:tr>
      <w:tr w:rsidR="000D2789" w:rsidRPr="000D2789" w14:paraId="5118DAAD" w14:textId="77777777" w:rsidTr="000D2789">
        <w:trPr>
          <w:trHeight w:val="272"/>
        </w:trPr>
        <w:tc>
          <w:tcPr>
            <w:tcW w:w="8384"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DB2028F" w14:textId="77777777" w:rsidR="000D2789" w:rsidRPr="000D2789" w:rsidRDefault="000D2789" w:rsidP="000D2789">
            <w:pPr>
              <w:spacing w:after="0" w:line="240" w:lineRule="auto"/>
              <w:jc w:val="center"/>
              <w:rPr>
                <w:rFonts w:ascii="Times New Roman" w:eastAsia="Times New Roman" w:hAnsi="Times New Roman" w:cs="Times New Roman"/>
                <w:b/>
                <w:bCs/>
                <w:color w:val="000000"/>
                <w:sz w:val="24"/>
                <w:szCs w:val="24"/>
                <w:lang w:eastAsia="tr-TR"/>
              </w:rPr>
            </w:pPr>
            <w:r w:rsidRPr="000D2789">
              <w:rPr>
                <w:rFonts w:ascii="Times New Roman" w:eastAsia="Times New Roman" w:hAnsi="Times New Roman" w:cs="Times New Roman"/>
                <w:b/>
                <w:bCs/>
                <w:color w:val="000000"/>
                <w:sz w:val="24"/>
                <w:szCs w:val="24"/>
                <w:lang w:eastAsia="tr-TR"/>
              </w:rPr>
              <w:t>01 Ocak- 30 Haziran 2024</w:t>
            </w:r>
          </w:p>
        </w:tc>
      </w:tr>
      <w:tr w:rsidR="000D2789" w:rsidRPr="000D2789" w14:paraId="2CF28AB4" w14:textId="77777777" w:rsidTr="000D2789">
        <w:trPr>
          <w:trHeight w:val="272"/>
        </w:trPr>
        <w:tc>
          <w:tcPr>
            <w:tcW w:w="593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89F790" w14:textId="77777777" w:rsidR="000D2789" w:rsidRPr="000D2789" w:rsidRDefault="000D2789" w:rsidP="000D2789">
            <w:pPr>
              <w:spacing w:after="0" w:line="240" w:lineRule="auto"/>
              <w:rPr>
                <w:rFonts w:ascii="Times New Roman" w:eastAsia="Times New Roman" w:hAnsi="Times New Roman" w:cs="Times New Roman"/>
                <w:sz w:val="24"/>
                <w:szCs w:val="24"/>
                <w:lang w:eastAsia="tr-TR"/>
              </w:rPr>
            </w:pPr>
            <w:r w:rsidRPr="000D2789">
              <w:rPr>
                <w:rFonts w:ascii="Times New Roman" w:eastAsia="Times New Roman" w:hAnsi="Times New Roman" w:cs="Times New Roman"/>
                <w:sz w:val="24"/>
                <w:szCs w:val="24"/>
                <w:lang w:eastAsia="tr-TR"/>
              </w:rPr>
              <w:t>Ortalama Fon Portföy Değeri</w:t>
            </w:r>
          </w:p>
        </w:tc>
        <w:tc>
          <w:tcPr>
            <w:tcW w:w="2452" w:type="dxa"/>
            <w:tcBorders>
              <w:top w:val="nil"/>
              <w:left w:val="nil"/>
              <w:bottom w:val="single" w:sz="4" w:space="0" w:color="auto"/>
              <w:right w:val="single" w:sz="8" w:space="0" w:color="auto"/>
            </w:tcBorders>
            <w:shd w:val="clear" w:color="auto" w:fill="auto"/>
            <w:noWrap/>
            <w:vAlign w:val="center"/>
            <w:hideMark/>
          </w:tcPr>
          <w:p w14:paraId="64EB2B8C"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15,140,283.96</w:t>
            </w:r>
          </w:p>
        </w:tc>
      </w:tr>
      <w:tr w:rsidR="000D2789" w:rsidRPr="000D2789" w14:paraId="565A8458" w14:textId="77777777" w:rsidTr="000D2789">
        <w:trPr>
          <w:trHeight w:val="272"/>
        </w:trPr>
        <w:tc>
          <w:tcPr>
            <w:tcW w:w="5932"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BFE3FE" w14:textId="77777777" w:rsidR="000D2789" w:rsidRPr="000D2789" w:rsidRDefault="000D2789" w:rsidP="000D2789">
            <w:pPr>
              <w:spacing w:after="0" w:line="240" w:lineRule="auto"/>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Toplam Faaliyet Giderleri</w:t>
            </w:r>
          </w:p>
        </w:tc>
        <w:tc>
          <w:tcPr>
            <w:tcW w:w="2452" w:type="dxa"/>
            <w:tcBorders>
              <w:top w:val="nil"/>
              <w:left w:val="nil"/>
              <w:bottom w:val="single" w:sz="4" w:space="0" w:color="auto"/>
              <w:right w:val="single" w:sz="8" w:space="0" w:color="auto"/>
            </w:tcBorders>
            <w:shd w:val="clear" w:color="auto" w:fill="auto"/>
            <w:noWrap/>
            <w:vAlign w:val="center"/>
            <w:hideMark/>
          </w:tcPr>
          <w:p w14:paraId="2F9A87DA" w14:textId="77777777" w:rsidR="000D2789" w:rsidRPr="000D2789" w:rsidRDefault="000D2789" w:rsidP="000D2789">
            <w:pPr>
              <w:spacing w:after="0" w:line="240" w:lineRule="auto"/>
              <w:jc w:val="center"/>
              <w:rPr>
                <w:rFonts w:ascii="Times New Roman" w:eastAsia="Times New Roman" w:hAnsi="Times New Roman" w:cs="Times New Roman"/>
                <w:color w:val="000000"/>
                <w:sz w:val="24"/>
                <w:szCs w:val="24"/>
                <w:lang w:eastAsia="tr-TR"/>
              </w:rPr>
            </w:pPr>
            <w:r w:rsidRPr="000D2789">
              <w:rPr>
                <w:rFonts w:ascii="Times New Roman" w:eastAsia="Times New Roman" w:hAnsi="Times New Roman" w:cs="Times New Roman"/>
                <w:color w:val="000000"/>
                <w:sz w:val="24"/>
                <w:szCs w:val="24"/>
                <w:lang w:eastAsia="tr-TR"/>
              </w:rPr>
              <w:t>222,934.77</w:t>
            </w:r>
          </w:p>
        </w:tc>
      </w:tr>
      <w:tr w:rsidR="000D2789" w:rsidRPr="000D2789" w14:paraId="67633424" w14:textId="77777777" w:rsidTr="000D2789">
        <w:trPr>
          <w:trHeight w:val="285"/>
        </w:trPr>
        <w:tc>
          <w:tcPr>
            <w:tcW w:w="5932"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9940F1D" w14:textId="77777777" w:rsidR="000D2789" w:rsidRPr="000D2789" w:rsidRDefault="000D2789" w:rsidP="000D2789">
            <w:pPr>
              <w:spacing w:after="0" w:line="240" w:lineRule="auto"/>
              <w:rPr>
                <w:rFonts w:ascii="Times New Roman" w:eastAsia="Times New Roman" w:hAnsi="Times New Roman" w:cs="Times New Roman"/>
                <w:sz w:val="24"/>
                <w:szCs w:val="24"/>
                <w:lang w:eastAsia="tr-TR"/>
              </w:rPr>
            </w:pPr>
            <w:r w:rsidRPr="000D2789">
              <w:rPr>
                <w:rFonts w:ascii="Times New Roman" w:eastAsia="Times New Roman" w:hAnsi="Times New Roman" w:cs="Times New Roman"/>
                <w:sz w:val="24"/>
                <w:szCs w:val="24"/>
                <w:lang w:eastAsia="tr-TR"/>
              </w:rPr>
              <w:t>Toplam Faaliyet Giderleri / Ortalama Portföy Değeri (%)</w:t>
            </w:r>
          </w:p>
        </w:tc>
        <w:tc>
          <w:tcPr>
            <w:tcW w:w="2452" w:type="dxa"/>
            <w:tcBorders>
              <w:top w:val="nil"/>
              <w:left w:val="nil"/>
              <w:bottom w:val="single" w:sz="8" w:space="0" w:color="auto"/>
              <w:right w:val="single" w:sz="8" w:space="0" w:color="auto"/>
            </w:tcBorders>
            <w:shd w:val="clear" w:color="auto" w:fill="auto"/>
            <w:noWrap/>
            <w:vAlign w:val="center"/>
            <w:hideMark/>
          </w:tcPr>
          <w:p w14:paraId="7014C1FF" w14:textId="77777777" w:rsidR="000D2789" w:rsidRPr="000D2789" w:rsidRDefault="000D2789" w:rsidP="000D2789">
            <w:pPr>
              <w:spacing w:after="0" w:line="240" w:lineRule="auto"/>
              <w:jc w:val="center"/>
              <w:rPr>
                <w:rFonts w:ascii="Times New Roman" w:eastAsia="Times New Roman" w:hAnsi="Times New Roman" w:cs="Times New Roman"/>
                <w:sz w:val="24"/>
                <w:szCs w:val="24"/>
                <w:lang w:eastAsia="tr-TR"/>
              </w:rPr>
            </w:pPr>
            <w:r w:rsidRPr="000D2789">
              <w:rPr>
                <w:rFonts w:ascii="Times New Roman" w:eastAsia="Times New Roman" w:hAnsi="Times New Roman" w:cs="Times New Roman"/>
                <w:sz w:val="24"/>
                <w:szCs w:val="24"/>
                <w:lang w:eastAsia="tr-TR"/>
              </w:rPr>
              <w:t>1.47</w:t>
            </w:r>
          </w:p>
        </w:tc>
      </w:tr>
    </w:tbl>
    <w:p w14:paraId="3F860373" w14:textId="7A7E84D4" w:rsidR="00705B32" w:rsidRPr="00CE6762" w:rsidRDefault="00705B32" w:rsidP="000D2789">
      <w:pPr>
        <w:spacing w:after="0"/>
        <w:rPr>
          <w:rFonts w:ascii="Times New Roman" w:hAnsi="Times New Roman" w:cs="Times New Roman"/>
        </w:rPr>
      </w:pPr>
    </w:p>
    <w:p w14:paraId="48E2ACEA" w14:textId="1097258F" w:rsidR="00237C1F" w:rsidRPr="00CE6762" w:rsidRDefault="00237C1F" w:rsidP="005B1C77">
      <w:pPr>
        <w:spacing w:after="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 ya da eşik değerinde herhangi bir değişiklik yapılmamıştır.</w:t>
      </w: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lastRenderedPageBreak/>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w:t>
      </w:r>
      <w:proofErr w:type="spellStart"/>
      <w:r>
        <w:rPr>
          <w:rFonts w:ascii="Times New Roman" w:hAnsi="Times New Roman" w:cs="Times New Roman"/>
          <w:sz w:val="24"/>
          <w:szCs w:val="24"/>
        </w:rPr>
        <w:t>tevfikatına</w:t>
      </w:r>
      <w:proofErr w:type="spellEnd"/>
      <w:r>
        <w:rPr>
          <w:rFonts w:ascii="Times New Roman" w:hAnsi="Times New Roman" w:cs="Times New Roman"/>
          <w:sz w:val="24"/>
          <w:szCs w:val="24"/>
        </w:rPr>
        <w:t xml:space="preserve">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3391BAD7" w14:textId="77777777" w:rsidR="00D71683" w:rsidRPr="00D42D4B" w:rsidRDefault="00D71683" w:rsidP="00D42D4B">
      <w:pPr>
        <w:spacing w:after="0"/>
        <w:ind w:left="709" w:firstLine="567"/>
        <w:jc w:val="both"/>
        <w:rPr>
          <w:rFonts w:ascii="Times New Roman" w:hAnsi="Times New Roman" w:cs="Times New Roman"/>
          <w:sz w:val="24"/>
          <w:szCs w:val="24"/>
        </w:rPr>
      </w:pPr>
    </w:p>
    <w:p w14:paraId="196F1C38" w14:textId="77777777" w:rsidR="00D71683" w:rsidRPr="00ED295B" w:rsidRDefault="00D71683" w:rsidP="00D71683">
      <w:pPr>
        <w:spacing w:after="0" w:line="240" w:lineRule="auto"/>
        <w:ind w:firstLine="709"/>
        <w:jc w:val="both"/>
        <w:rPr>
          <w:rFonts w:ascii="Times New Roman" w:hAnsi="Times New Roman" w:cs="Times New Roman"/>
          <w:sz w:val="24"/>
          <w:szCs w:val="24"/>
        </w:rPr>
      </w:pPr>
      <w:r w:rsidRPr="00ED295B">
        <w:rPr>
          <w:rFonts w:ascii="Times New Roman" w:hAnsi="Times New Roman" w:cs="Times New Roman"/>
          <w:b/>
          <w:sz w:val="24"/>
          <w:szCs w:val="24"/>
        </w:rPr>
        <w:t xml:space="preserve">1) Piyasa Riski: </w:t>
      </w:r>
      <w:r w:rsidRPr="00ED295B">
        <w:rPr>
          <w:rFonts w:ascii="Times New Roman" w:hAnsi="Times New Roman" w:cs="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ED295B">
        <w:rPr>
          <w:rFonts w:ascii="Times New Roman" w:hAnsi="Times New Roman" w:cs="Times New Roman"/>
          <w:spacing w:val="-3"/>
          <w:sz w:val="24"/>
          <w:szCs w:val="24"/>
        </w:rPr>
        <w:t xml:space="preserve"> </w:t>
      </w:r>
      <w:r w:rsidRPr="00ED295B">
        <w:rPr>
          <w:rFonts w:ascii="Times New Roman" w:hAnsi="Times New Roman" w:cs="Times New Roman"/>
          <w:sz w:val="24"/>
          <w:szCs w:val="24"/>
        </w:rPr>
        <w:t>verilmektedir:</w:t>
      </w:r>
    </w:p>
    <w:p w14:paraId="569A3D86" w14:textId="77777777" w:rsidR="00D71683" w:rsidRPr="00ED295B" w:rsidRDefault="00D71683" w:rsidP="00D71683">
      <w:pPr>
        <w:widowControl w:val="0"/>
        <w:tabs>
          <w:tab w:val="left" w:pos="709"/>
        </w:tabs>
        <w:autoSpaceDE w:val="0"/>
        <w:autoSpaceDN w:val="0"/>
        <w:spacing w:after="0" w:line="240" w:lineRule="auto"/>
        <w:ind w:firstLine="209"/>
        <w:jc w:val="both"/>
        <w:rPr>
          <w:rFonts w:ascii="Times New Roman" w:hAnsi="Times New Roman" w:cs="Times New Roman"/>
          <w:sz w:val="24"/>
          <w:szCs w:val="24"/>
        </w:rPr>
      </w:pPr>
    </w:p>
    <w:p w14:paraId="76372BD2" w14:textId="77777777" w:rsidR="00D71683" w:rsidRPr="00ED295B" w:rsidRDefault="00D71683" w:rsidP="00D71683">
      <w:pPr>
        <w:widowControl w:val="0"/>
        <w:numPr>
          <w:ilvl w:val="0"/>
          <w:numId w:val="10"/>
        </w:numPr>
        <w:tabs>
          <w:tab w:val="left" w:pos="709"/>
          <w:tab w:val="left" w:pos="1181"/>
        </w:tabs>
        <w:autoSpaceDE w:val="0"/>
        <w:autoSpaceDN w:val="0"/>
        <w:spacing w:after="0" w:line="240" w:lineRule="auto"/>
        <w:ind w:left="709" w:right="508" w:hanging="425"/>
        <w:jc w:val="both"/>
        <w:rPr>
          <w:rFonts w:ascii="Times New Roman" w:hAnsi="Times New Roman" w:cs="Times New Roman"/>
          <w:sz w:val="24"/>
          <w:szCs w:val="24"/>
        </w:rPr>
      </w:pPr>
      <w:r w:rsidRPr="00ED295B">
        <w:rPr>
          <w:rFonts w:ascii="Times New Roman" w:hAnsi="Times New Roman" w:cs="Times New Roman"/>
          <w:b/>
          <w:bCs/>
          <w:sz w:val="24"/>
          <w:szCs w:val="24"/>
        </w:rPr>
        <w:t xml:space="preserve">Faiz Oranı Riski: </w:t>
      </w:r>
      <w:r w:rsidRPr="00ED295B">
        <w:rPr>
          <w:rFonts w:ascii="Times New Roman" w:hAnsi="Times New Roman" w:cs="Times New Roman"/>
          <w:sz w:val="24"/>
          <w:szCs w:val="24"/>
        </w:rPr>
        <w:t xml:space="preserve">Fon portföyüne faize dayalı varlıkların (borçlanma aracı, ters repo </w:t>
      </w:r>
      <w:proofErr w:type="spellStart"/>
      <w:r w:rsidRPr="00ED295B">
        <w:rPr>
          <w:rFonts w:ascii="Times New Roman" w:hAnsi="Times New Roman" w:cs="Times New Roman"/>
          <w:sz w:val="24"/>
          <w:szCs w:val="24"/>
        </w:rPr>
        <w:t>vb</w:t>
      </w:r>
      <w:proofErr w:type="spellEnd"/>
      <w:r w:rsidRPr="00ED295B">
        <w:rPr>
          <w:rFonts w:ascii="Times New Roman" w:hAnsi="Times New Roman" w:cs="Times New Roman"/>
          <w:sz w:val="24"/>
          <w:szCs w:val="24"/>
        </w:rPr>
        <w:t>) dahil edilmesi halinde, söz konusu varlıkların değerinde piyasalarda yaşanabilecek faiz oranları değişimleri nedeniyle oluşan riski ifade eder.</w:t>
      </w:r>
    </w:p>
    <w:p w14:paraId="3D9917F1" w14:textId="77777777" w:rsidR="00D71683" w:rsidRPr="00ED295B" w:rsidRDefault="00D71683" w:rsidP="00D71683">
      <w:pPr>
        <w:widowControl w:val="0"/>
        <w:tabs>
          <w:tab w:val="left" w:pos="709"/>
          <w:tab w:val="left" w:pos="1168"/>
        </w:tabs>
        <w:autoSpaceDE w:val="0"/>
        <w:autoSpaceDN w:val="0"/>
        <w:spacing w:after="0" w:line="240" w:lineRule="auto"/>
        <w:ind w:left="709" w:right="508"/>
        <w:jc w:val="both"/>
        <w:rPr>
          <w:rFonts w:ascii="Times New Roman" w:hAnsi="Times New Roman" w:cs="Times New Roman"/>
          <w:b/>
          <w:bCs/>
          <w:sz w:val="24"/>
          <w:szCs w:val="24"/>
        </w:rPr>
      </w:pPr>
    </w:p>
    <w:p w14:paraId="35384DBF" w14:textId="77777777" w:rsidR="00D71683" w:rsidRPr="00ED295B" w:rsidRDefault="00D71683" w:rsidP="00D71683">
      <w:pPr>
        <w:widowControl w:val="0"/>
        <w:numPr>
          <w:ilvl w:val="0"/>
          <w:numId w:val="10"/>
        </w:numPr>
        <w:tabs>
          <w:tab w:val="left" w:pos="709"/>
          <w:tab w:val="left" w:pos="1168"/>
        </w:tabs>
        <w:autoSpaceDE w:val="0"/>
        <w:autoSpaceDN w:val="0"/>
        <w:spacing w:after="0" w:line="240" w:lineRule="auto"/>
        <w:ind w:left="709" w:right="508" w:hanging="425"/>
        <w:jc w:val="both"/>
        <w:rPr>
          <w:rFonts w:ascii="Times New Roman" w:hAnsi="Times New Roman" w:cs="Times New Roman"/>
          <w:sz w:val="24"/>
          <w:szCs w:val="24"/>
        </w:rPr>
      </w:pPr>
      <w:r w:rsidRPr="00ED295B">
        <w:rPr>
          <w:rFonts w:ascii="Times New Roman" w:hAnsi="Times New Roman" w:cs="Times New Roman"/>
          <w:b/>
          <w:bCs/>
          <w:sz w:val="24"/>
          <w:szCs w:val="24"/>
        </w:rPr>
        <w:t xml:space="preserve">Ortaklık Payı Fiyat Riski: </w:t>
      </w:r>
      <w:r w:rsidRPr="00ED295B">
        <w:rPr>
          <w:rFonts w:ascii="Times New Roman" w:hAnsi="Times New Roman" w:cs="Times New Roman"/>
          <w:sz w:val="24"/>
          <w:szCs w:val="24"/>
        </w:rPr>
        <w:t>Fon portföyüne ortaklık payı dahil edilmesi halinde, Fon portföyünde bulunan ortaklık paylarının fiyatlarında meydana gelebilecek değişiklikler nedeniyle portföyün maruz kalacağı zarar olasılığını ifade etmektedir.</w:t>
      </w:r>
    </w:p>
    <w:p w14:paraId="4C0B6005" w14:textId="77777777" w:rsidR="00D71683" w:rsidRPr="00ED295B" w:rsidRDefault="00D71683" w:rsidP="00D71683">
      <w:pPr>
        <w:widowControl w:val="0"/>
        <w:tabs>
          <w:tab w:val="left" w:pos="709"/>
          <w:tab w:val="left" w:pos="1168"/>
        </w:tabs>
        <w:autoSpaceDE w:val="0"/>
        <w:autoSpaceDN w:val="0"/>
        <w:spacing w:after="0" w:line="240" w:lineRule="auto"/>
        <w:ind w:left="709" w:right="508"/>
        <w:jc w:val="both"/>
        <w:rPr>
          <w:rFonts w:ascii="Times New Roman" w:hAnsi="Times New Roman" w:cs="Times New Roman"/>
          <w:b/>
          <w:bCs/>
          <w:sz w:val="24"/>
          <w:szCs w:val="24"/>
        </w:rPr>
      </w:pPr>
    </w:p>
    <w:p w14:paraId="6B6F6C2A" w14:textId="77777777" w:rsidR="00D71683" w:rsidRPr="00ED295B" w:rsidRDefault="00D71683" w:rsidP="00D71683">
      <w:pPr>
        <w:widowControl w:val="0"/>
        <w:numPr>
          <w:ilvl w:val="0"/>
          <w:numId w:val="10"/>
        </w:numPr>
        <w:tabs>
          <w:tab w:val="left" w:pos="709"/>
          <w:tab w:val="left" w:pos="1168"/>
        </w:tabs>
        <w:autoSpaceDE w:val="0"/>
        <w:autoSpaceDN w:val="0"/>
        <w:spacing w:after="0" w:line="240" w:lineRule="auto"/>
        <w:ind w:left="709" w:right="508" w:hanging="425"/>
        <w:jc w:val="both"/>
        <w:rPr>
          <w:rFonts w:ascii="Times New Roman" w:hAnsi="Times New Roman" w:cs="Times New Roman"/>
          <w:sz w:val="24"/>
          <w:szCs w:val="24"/>
        </w:rPr>
      </w:pPr>
      <w:r w:rsidRPr="00ED295B">
        <w:rPr>
          <w:rFonts w:ascii="Times New Roman" w:hAnsi="Times New Roman" w:cs="Times New Roman"/>
          <w:b/>
          <w:bCs/>
          <w:sz w:val="24"/>
          <w:szCs w:val="24"/>
        </w:rPr>
        <w:t xml:space="preserve">Kâr Payı Oranı Riski: </w:t>
      </w:r>
      <w:r w:rsidRPr="00ED295B">
        <w:rPr>
          <w:rFonts w:ascii="Times New Roman" w:hAnsi="Times New Roman" w:cs="Times New Roman"/>
          <w:sz w:val="24"/>
          <w:szCs w:val="24"/>
        </w:rPr>
        <w:t>Fon portföyüne kira sertifikası ve katılma hesabı dahil edilmesi halinde söz konusu ürünlerin sağlayacağı kira/kâr payı oranlarında yaşanabilecek dalgalanmalar nedeniyle oluşan riski ifade eder.</w:t>
      </w:r>
    </w:p>
    <w:p w14:paraId="2C958AFC" w14:textId="77777777" w:rsidR="00D71683" w:rsidRPr="00ED295B" w:rsidRDefault="00D71683" w:rsidP="00D71683">
      <w:pPr>
        <w:pStyle w:val="ListeParagraf"/>
        <w:rPr>
          <w:lang w:eastAsia="en-US"/>
        </w:rPr>
      </w:pPr>
    </w:p>
    <w:p w14:paraId="0001A59D" w14:textId="77777777" w:rsidR="00D71683" w:rsidRPr="00ED295B" w:rsidRDefault="00D71683" w:rsidP="00D71683">
      <w:pPr>
        <w:spacing w:after="0" w:line="240" w:lineRule="auto"/>
        <w:ind w:firstLine="709"/>
        <w:jc w:val="both"/>
        <w:rPr>
          <w:rFonts w:ascii="Times New Roman" w:hAnsi="Times New Roman" w:cs="Times New Roman"/>
          <w:b/>
          <w:sz w:val="24"/>
          <w:szCs w:val="24"/>
        </w:rPr>
      </w:pPr>
      <w:r w:rsidRPr="00ED295B">
        <w:rPr>
          <w:rFonts w:ascii="Times New Roman" w:hAnsi="Times New Roman" w:cs="Times New Roman"/>
          <w:b/>
          <w:sz w:val="24"/>
          <w:szCs w:val="24"/>
        </w:rPr>
        <w:t>2)</w:t>
      </w:r>
      <w:r w:rsidRPr="00ED295B">
        <w:rPr>
          <w:rFonts w:ascii="Times New Roman" w:hAnsi="Times New Roman" w:cs="Times New Roman"/>
          <w:sz w:val="24"/>
          <w:szCs w:val="24"/>
        </w:rPr>
        <w:t xml:space="preserve"> </w:t>
      </w:r>
      <w:r w:rsidRPr="00ED295B">
        <w:rPr>
          <w:rFonts w:ascii="Times New Roman" w:hAnsi="Times New Roman" w:cs="Times New Roman"/>
          <w:b/>
          <w:sz w:val="24"/>
          <w:szCs w:val="24"/>
        </w:rPr>
        <w:t>Karşı Taraf Riski:</w:t>
      </w:r>
      <w:r w:rsidRPr="00ED295B">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w:t>
      </w:r>
    </w:p>
    <w:p w14:paraId="5A3B3720" w14:textId="77777777" w:rsidR="00D71683" w:rsidRPr="00ED295B" w:rsidRDefault="00D71683" w:rsidP="00D71683">
      <w:pPr>
        <w:spacing w:after="0" w:line="240" w:lineRule="auto"/>
        <w:ind w:firstLine="709"/>
        <w:jc w:val="both"/>
        <w:rPr>
          <w:rFonts w:ascii="Times New Roman" w:hAnsi="Times New Roman" w:cs="Times New Roman"/>
          <w:b/>
          <w:sz w:val="24"/>
          <w:szCs w:val="24"/>
        </w:rPr>
      </w:pPr>
    </w:p>
    <w:p w14:paraId="2CBE9E38" w14:textId="77777777" w:rsidR="00D71683" w:rsidRPr="00ED295B" w:rsidRDefault="00D71683" w:rsidP="00D71683">
      <w:pPr>
        <w:spacing w:after="0" w:line="240" w:lineRule="auto"/>
        <w:ind w:firstLine="709"/>
        <w:jc w:val="both"/>
        <w:rPr>
          <w:rFonts w:ascii="Times New Roman" w:hAnsi="Times New Roman" w:cs="Times New Roman"/>
          <w:sz w:val="24"/>
          <w:szCs w:val="24"/>
        </w:rPr>
      </w:pPr>
      <w:r w:rsidRPr="00ED295B">
        <w:rPr>
          <w:rFonts w:ascii="Times New Roman" w:hAnsi="Times New Roman" w:cs="Times New Roman"/>
          <w:b/>
          <w:sz w:val="24"/>
          <w:szCs w:val="24"/>
        </w:rPr>
        <w:t>3) Likidite Riski:</w:t>
      </w:r>
      <w:r w:rsidRPr="00ED295B">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27C898A5" w14:textId="77777777" w:rsidR="00D71683" w:rsidRPr="00ED295B" w:rsidRDefault="00D71683" w:rsidP="00D71683">
      <w:pPr>
        <w:spacing w:after="0" w:line="240" w:lineRule="auto"/>
        <w:jc w:val="both"/>
        <w:rPr>
          <w:rFonts w:ascii="Times New Roman" w:hAnsi="Times New Roman" w:cs="Times New Roman"/>
          <w:bCs/>
          <w:sz w:val="24"/>
          <w:szCs w:val="24"/>
        </w:rPr>
      </w:pPr>
    </w:p>
    <w:p w14:paraId="5594C4A9"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b/>
          <w:sz w:val="24"/>
          <w:szCs w:val="24"/>
        </w:rPr>
        <w:tab/>
        <w:t xml:space="preserve">4) Kaldıraç Yaratan İşlem Riski: </w:t>
      </w:r>
      <w:r w:rsidRPr="00ED295B">
        <w:rPr>
          <w:rFonts w:ascii="Times New Roman" w:hAnsi="Times New Roman" w:cs="Times New Roman"/>
          <w:sz w:val="24"/>
          <w:szCs w:val="24"/>
        </w:rPr>
        <w:t>Fon portföyüne türev araç (vadeli işlem ve opsiyon sözleşmeleri), saklı türev araç, swap sözleşmesi, varant, sertifika dahil edilmesi, ileri valörlü 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4749759D" w14:textId="77777777" w:rsidR="00D71683" w:rsidRPr="00ED295B" w:rsidRDefault="00D71683" w:rsidP="00D71683">
      <w:pPr>
        <w:spacing w:after="0" w:line="240" w:lineRule="auto"/>
        <w:jc w:val="both"/>
        <w:rPr>
          <w:rFonts w:ascii="Times New Roman" w:hAnsi="Times New Roman" w:cs="Times New Roman"/>
          <w:sz w:val="24"/>
          <w:szCs w:val="24"/>
        </w:rPr>
      </w:pPr>
    </w:p>
    <w:p w14:paraId="6831E94A"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b/>
          <w:sz w:val="24"/>
          <w:szCs w:val="24"/>
        </w:rPr>
        <w:tab/>
        <w:t>5) Operasyonel Risk</w:t>
      </w:r>
      <w:r w:rsidRPr="00ED295B">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DCFB33E" w14:textId="77777777" w:rsidR="00D71683" w:rsidRPr="00ED295B" w:rsidRDefault="00D71683" w:rsidP="00D71683">
      <w:pPr>
        <w:spacing w:after="0" w:line="240" w:lineRule="auto"/>
        <w:jc w:val="both"/>
        <w:rPr>
          <w:rFonts w:ascii="Times New Roman" w:hAnsi="Times New Roman" w:cs="Times New Roman"/>
          <w:sz w:val="24"/>
          <w:szCs w:val="24"/>
        </w:rPr>
      </w:pPr>
    </w:p>
    <w:p w14:paraId="041C38EE"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b/>
          <w:sz w:val="24"/>
          <w:szCs w:val="24"/>
        </w:rPr>
        <w:tab/>
        <w:t>6) Yoğunlaşma Riski:</w:t>
      </w:r>
      <w:r w:rsidRPr="00ED295B">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49C0A90C"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sz w:val="24"/>
          <w:szCs w:val="24"/>
        </w:rPr>
        <w:tab/>
      </w:r>
    </w:p>
    <w:p w14:paraId="7F22201A"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sz w:val="24"/>
          <w:szCs w:val="24"/>
        </w:rPr>
        <w:tab/>
      </w:r>
      <w:r w:rsidRPr="00ED295B">
        <w:rPr>
          <w:rFonts w:ascii="Times New Roman" w:hAnsi="Times New Roman" w:cs="Times New Roman"/>
          <w:b/>
          <w:sz w:val="24"/>
          <w:szCs w:val="24"/>
        </w:rPr>
        <w:t>7) Korelasyon Riski:</w:t>
      </w:r>
      <w:r w:rsidRPr="00ED295B">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5B36711E" w14:textId="77777777" w:rsidR="00D71683" w:rsidRPr="00ED295B" w:rsidRDefault="00D71683" w:rsidP="00D71683">
      <w:pPr>
        <w:spacing w:after="0" w:line="240" w:lineRule="auto"/>
        <w:jc w:val="both"/>
        <w:rPr>
          <w:rFonts w:ascii="Times New Roman" w:hAnsi="Times New Roman" w:cs="Times New Roman"/>
          <w:sz w:val="24"/>
          <w:szCs w:val="24"/>
        </w:rPr>
      </w:pPr>
    </w:p>
    <w:p w14:paraId="529E667C"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b/>
          <w:sz w:val="24"/>
          <w:szCs w:val="24"/>
        </w:rPr>
        <w:tab/>
        <w:t>8) Yasal Risk:</w:t>
      </w:r>
      <w:r w:rsidRPr="00ED295B">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21CE940A" w14:textId="77777777" w:rsidR="00D71683" w:rsidRPr="00ED295B" w:rsidRDefault="00D71683" w:rsidP="00D71683">
      <w:pPr>
        <w:spacing w:after="0" w:line="240" w:lineRule="auto"/>
        <w:jc w:val="both"/>
        <w:rPr>
          <w:rFonts w:ascii="Times New Roman" w:hAnsi="Times New Roman" w:cs="Times New Roman"/>
          <w:sz w:val="24"/>
          <w:szCs w:val="24"/>
        </w:rPr>
      </w:pPr>
    </w:p>
    <w:p w14:paraId="0D121A2E"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sz w:val="24"/>
          <w:szCs w:val="24"/>
        </w:rPr>
        <w:t xml:space="preserve">     </w:t>
      </w:r>
      <w:r w:rsidRPr="00ED295B">
        <w:rPr>
          <w:rFonts w:ascii="Times New Roman" w:hAnsi="Times New Roman" w:cs="Times New Roman"/>
          <w:sz w:val="24"/>
          <w:szCs w:val="24"/>
        </w:rPr>
        <w:tab/>
      </w:r>
      <w:r w:rsidRPr="00ED295B">
        <w:rPr>
          <w:rFonts w:ascii="Times New Roman" w:hAnsi="Times New Roman" w:cs="Times New Roman"/>
          <w:b/>
          <w:sz w:val="24"/>
          <w:szCs w:val="24"/>
        </w:rPr>
        <w:t xml:space="preserve">9) İhraççı Riski: </w:t>
      </w:r>
      <w:r w:rsidRPr="00ED295B">
        <w:rPr>
          <w:rFonts w:ascii="Times New Roman" w:hAnsi="Times New Roman" w:cs="Times New Roman"/>
          <w:sz w:val="24"/>
          <w:szCs w:val="24"/>
        </w:rPr>
        <w:t>Fon portföyüne alınan varlıkların</w:t>
      </w:r>
      <w:r w:rsidRPr="00ED295B">
        <w:rPr>
          <w:rFonts w:ascii="Times New Roman" w:hAnsi="Times New Roman" w:cs="Times New Roman"/>
          <w:b/>
          <w:sz w:val="24"/>
          <w:szCs w:val="24"/>
        </w:rPr>
        <w:t xml:space="preserve"> </w:t>
      </w:r>
      <w:r w:rsidRPr="00ED295B">
        <w:rPr>
          <w:rFonts w:ascii="Times New Roman" w:hAnsi="Times New Roman" w:cs="Times New Roman"/>
          <w:sz w:val="24"/>
          <w:szCs w:val="24"/>
        </w:rPr>
        <w:t>ihraççısının yükümlülüklerini kısmen veya tamamen zamanında yerine getirememesi nedeniyle doğabilecek zarar ihtimalini ifade eder.</w:t>
      </w:r>
    </w:p>
    <w:p w14:paraId="0A830253" w14:textId="77777777" w:rsidR="00D71683" w:rsidRPr="00ED295B" w:rsidRDefault="00D71683" w:rsidP="00D71683">
      <w:pPr>
        <w:spacing w:after="0" w:line="240" w:lineRule="auto"/>
        <w:jc w:val="both"/>
        <w:rPr>
          <w:rFonts w:ascii="Times New Roman" w:hAnsi="Times New Roman" w:cs="Times New Roman"/>
          <w:sz w:val="24"/>
          <w:szCs w:val="24"/>
        </w:rPr>
      </w:pPr>
    </w:p>
    <w:p w14:paraId="5EFCD2B0" w14:textId="77777777" w:rsidR="00D71683" w:rsidRPr="00ED295B" w:rsidRDefault="00D71683" w:rsidP="00D71683">
      <w:pPr>
        <w:spacing w:after="0" w:line="240" w:lineRule="auto"/>
        <w:jc w:val="both"/>
        <w:rPr>
          <w:rFonts w:ascii="Times New Roman" w:hAnsi="Times New Roman" w:cs="Times New Roman"/>
          <w:sz w:val="24"/>
          <w:szCs w:val="24"/>
        </w:rPr>
      </w:pPr>
      <w:r w:rsidRPr="00ED295B">
        <w:rPr>
          <w:rFonts w:ascii="Times New Roman" w:hAnsi="Times New Roman" w:cs="Times New Roman"/>
          <w:sz w:val="24"/>
          <w:szCs w:val="24"/>
        </w:rPr>
        <w:tab/>
      </w:r>
      <w:r w:rsidRPr="00ED295B">
        <w:rPr>
          <w:rFonts w:ascii="Times New Roman" w:hAnsi="Times New Roman" w:cs="Times New Roman"/>
          <w:b/>
          <w:sz w:val="24"/>
          <w:szCs w:val="24"/>
        </w:rPr>
        <w:t xml:space="preserve">10) Etik Risk: </w:t>
      </w:r>
      <w:r w:rsidRPr="00ED295B">
        <w:rPr>
          <w:rFonts w:ascii="Times New Roman" w:hAnsi="Times New Roman" w:cs="Times New Roman"/>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242B8E0B" w14:textId="77777777" w:rsidR="00D71683" w:rsidRPr="00ED295B" w:rsidRDefault="00D71683" w:rsidP="00D71683">
      <w:pPr>
        <w:spacing w:after="0" w:line="240" w:lineRule="auto"/>
        <w:jc w:val="both"/>
        <w:rPr>
          <w:rFonts w:ascii="Times New Roman" w:hAnsi="Times New Roman" w:cs="Times New Roman"/>
          <w:sz w:val="24"/>
          <w:szCs w:val="24"/>
        </w:rPr>
      </w:pPr>
    </w:p>
    <w:p w14:paraId="35F50940" w14:textId="77777777" w:rsidR="00D71683" w:rsidRPr="00ED295B" w:rsidRDefault="00D71683" w:rsidP="00D71683">
      <w:pPr>
        <w:spacing w:after="0" w:line="240" w:lineRule="auto"/>
        <w:ind w:firstLine="708"/>
        <w:jc w:val="both"/>
        <w:rPr>
          <w:rFonts w:ascii="Times New Roman" w:hAnsi="Times New Roman" w:cs="Times New Roman"/>
          <w:sz w:val="24"/>
          <w:szCs w:val="24"/>
        </w:rPr>
      </w:pPr>
      <w:r w:rsidRPr="00ED295B">
        <w:rPr>
          <w:rFonts w:ascii="Times New Roman" w:hAnsi="Times New Roman" w:cs="Times New Roman"/>
          <w:b/>
          <w:sz w:val="24"/>
          <w:szCs w:val="24"/>
        </w:rPr>
        <w:t>11)</w:t>
      </w:r>
      <w:r w:rsidRPr="00ED295B">
        <w:rPr>
          <w:rFonts w:ascii="Times New Roman" w:hAnsi="Times New Roman" w:cs="Times New Roman"/>
          <w:sz w:val="24"/>
          <w:szCs w:val="24"/>
        </w:rPr>
        <w:t xml:space="preserve"> </w:t>
      </w:r>
      <w:r w:rsidRPr="00ED295B">
        <w:rPr>
          <w:rFonts w:ascii="Times New Roman" w:hAnsi="Times New Roman" w:cs="Times New Roman"/>
          <w:b/>
          <w:sz w:val="24"/>
          <w:szCs w:val="24"/>
        </w:rPr>
        <w:t>Teminat Riski:</w:t>
      </w:r>
      <w:r w:rsidRPr="00ED295B">
        <w:rPr>
          <w:rFonts w:ascii="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14709A25" w14:textId="77777777" w:rsidR="00D71683" w:rsidRPr="00ED295B" w:rsidRDefault="00D71683" w:rsidP="00D71683">
      <w:pPr>
        <w:spacing w:after="0" w:line="240" w:lineRule="auto"/>
        <w:ind w:firstLine="708"/>
        <w:jc w:val="both"/>
        <w:rPr>
          <w:rFonts w:ascii="Times New Roman" w:hAnsi="Times New Roman" w:cs="Times New Roman"/>
          <w:b/>
          <w:sz w:val="24"/>
          <w:szCs w:val="24"/>
        </w:rPr>
      </w:pPr>
    </w:p>
    <w:p w14:paraId="3ED63244" w14:textId="77777777" w:rsidR="00D71683" w:rsidRPr="00ED295B" w:rsidRDefault="00D71683" w:rsidP="00D71683">
      <w:pPr>
        <w:spacing w:after="0" w:line="240" w:lineRule="auto"/>
        <w:ind w:firstLine="708"/>
        <w:jc w:val="both"/>
        <w:rPr>
          <w:rFonts w:ascii="Times New Roman" w:hAnsi="Times New Roman" w:cs="Times New Roman"/>
          <w:sz w:val="24"/>
          <w:szCs w:val="24"/>
        </w:rPr>
      </w:pPr>
      <w:r w:rsidRPr="00ED295B">
        <w:rPr>
          <w:rFonts w:ascii="Times New Roman" w:hAnsi="Times New Roman" w:cs="Times New Roman"/>
          <w:b/>
          <w:sz w:val="24"/>
          <w:szCs w:val="24"/>
        </w:rPr>
        <w:t>12) Opsiyon Duyarlılık Riskleri:</w:t>
      </w:r>
      <w:r w:rsidRPr="00ED295B">
        <w:rPr>
          <w:rFonts w:ascii="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ED295B">
        <w:rPr>
          <w:rFonts w:ascii="Times New Roman" w:hAnsi="Times New Roman" w:cs="Times New Roman"/>
          <w:sz w:val="24"/>
          <w:szCs w:val="24"/>
        </w:rPr>
        <w:t>Vega</w:t>
      </w:r>
      <w:proofErr w:type="spellEnd"/>
      <w:r w:rsidRPr="00ED295B">
        <w:rPr>
          <w:rFonts w:ascii="Times New Roman" w:hAnsi="Times New Roman" w:cs="Times New Roman"/>
          <w:sz w:val="24"/>
          <w:szCs w:val="24"/>
        </w:rPr>
        <w:t xml:space="preserve">; opsiyonun dayanak varlığının fiyat dalgalanmasındaki birim değişimin opsiyon priminde oluşturduğu değişimdir. </w:t>
      </w:r>
      <w:proofErr w:type="spellStart"/>
      <w:r w:rsidRPr="00ED295B">
        <w:rPr>
          <w:rFonts w:ascii="Times New Roman" w:hAnsi="Times New Roman" w:cs="Times New Roman"/>
          <w:sz w:val="24"/>
          <w:szCs w:val="24"/>
        </w:rPr>
        <w:t>Theta</w:t>
      </w:r>
      <w:proofErr w:type="spellEnd"/>
      <w:r w:rsidRPr="00ED295B">
        <w:rPr>
          <w:rFonts w:ascii="Times New Roman" w:hAnsi="Times New Roman" w:cs="Times New Roman"/>
          <w:sz w:val="24"/>
          <w:szCs w:val="24"/>
        </w:rPr>
        <w:t xml:space="preserve">; risk ölçümlerinde büyük önem taşıyan zaman faktörünü ifade eden gösterge olup, opsiyon fiyatının vadeye göre değişiminin ölçüsüdür. </w:t>
      </w:r>
      <w:proofErr w:type="spellStart"/>
      <w:r w:rsidRPr="00ED295B">
        <w:rPr>
          <w:rFonts w:ascii="Times New Roman" w:hAnsi="Times New Roman" w:cs="Times New Roman"/>
          <w:sz w:val="24"/>
          <w:szCs w:val="24"/>
        </w:rPr>
        <w:t>Rho</w:t>
      </w:r>
      <w:proofErr w:type="spellEnd"/>
      <w:r w:rsidRPr="00ED295B">
        <w:rPr>
          <w:rFonts w:ascii="Times New Roman" w:hAnsi="Times New Roman" w:cs="Times New Roman"/>
          <w:sz w:val="24"/>
          <w:szCs w:val="24"/>
        </w:rPr>
        <w:t xml:space="preserve"> ise faiz oranlarındaki yüzdesel değişimin opsiyonun fiyatında oluşturduğu değişimin ölçüsüdür.</w:t>
      </w:r>
    </w:p>
    <w:p w14:paraId="3A5336B7" w14:textId="77777777" w:rsidR="00D71683" w:rsidRPr="00ED295B" w:rsidRDefault="00D71683" w:rsidP="00D71683">
      <w:pPr>
        <w:spacing w:after="0" w:line="240" w:lineRule="auto"/>
        <w:ind w:firstLine="708"/>
        <w:jc w:val="both"/>
        <w:rPr>
          <w:rFonts w:ascii="Times New Roman" w:hAnsi="Times New Roman" w:cs="Times New Roman"/>
          <w:b/>
          <w:sz w:val="24"/>
          <w:szCs w:val="24"/>
        </w:rPr>
      </w:pPr>
    </w:p>
    <w:p w14:paraId="2566E66B" w14:textId="77777777" w:rsidR="00D71683" w:rsidRPr="00ED295B" w:rsidRDefault="00D71683" w:rsidP="00D71683">
      <w:pPr>
        <w:spacing w:after="0" w:line="240" w:lineRule="auto"/>
        <w:ind w:firstLine="708"/>
        <w:jc w:val="both"/>
        <w:rPr>
          <w:rFonts w:ascii="Times New Roman" w:hAnsi="Times New Roman" w:cs="Times New Roman"/>
          <w:sz w:val="24"/>
          <w:szCs w:val="24"/>
        </w:rPr>
      </w:pPr>
      <w:r w:rsidRPr="00ED295B">
        <w:rPr>
          <w:rFonts w:ascii="Times New Roman" w:hAnsi="Times New Roman" w:cs="Times New Roman"/>
          <w:b/>
          <w:sz w:val="24"/>
          <w:szCs w:val="24"/>
        </w:rPr>
        <w:t>13) Açığa Satış Riski: Fon</w:t>
      </w:r>
      <w:r w:rsidRPr="00ED295B">
        <w:rPr>
          <w:rFonts w:ascii="Times New Roman" w:hAnsi="Times New Roman" w:cs="Times New Roman"/>
          <w:sz w:val="24"/>
          <w:szCs w:val="24"/>
        </w:rPr>
        <w:t xml:space="preserve"> portföyü içerisinden açığa satış yapılan finansal enstrümanların piyasa likiditesinin daralması sebebiyle ödünç karşılığı ve/veya doğrudan açığa satış imkanlarının azalması durumunu ifade eder.</w:t>
      </w:r>
    </w:p>
    <w:p w14:paraId="77A26BD6" w14:textId="77777777" w:rsidR="00D71683" w:rsidRPr="00ED295B" w:rsidRDefault="00D71683" w:rsidP="00D71683">
      <w:pPr>
        <w:spacing w:after="0" w:line="240" w:lineRule="auto"/>
        <w:ind w:firstLine="708"/>
        <w:jc w:val="both"/>
        <w:rPr>
          <w:rFonts w:ascii="Times New Roman" w:hAnsi="Times New Roman" w:cs="Times New Roman"/>
          <w:b/>
          <w:sz w:val="24"/>
          <w:szCs w:val="24"/>
        </w:rPr>
      </w:pPr>
    </w:p>
    <w:p w14:paraId="2D0FF032" w14:textId="77777777" w:rsidR="00D71683" w:rsidRPr="00ED295B" w:rsidRDefault="00D71683" w:rsidP="00D71683">
      <w:pPr>
        <w:spacing w:after="0" w:line="240" w:lineRule="auto"/>
        <w:ind w:firstLine="708"/>
        <w:jc w:val="both"/>
        <w:rPr>
          <w:rFonts w:ascii="Times New Roman" w:hAnsi="Times New Roman" w:cs="Times New Roman"/>
          <w:b/>
          <w:bCs/>
          <w:sz w:val="24"/>
          <w:szCs w:val="24"/>
        </w:rPr>
      </w:pPr>
      <w:r w:rsidRPr="00ED295B">
        <w:rPr>
          <w:rFonts w:ascii="Times New Roman" w:hAnsi="Times New Roman" w:cs="Times New Roman"/>
          <w:b/>
          <w:sz w:val="24"/>
          <w:szCs w:val="24"/>
        </w:rPr>
        <w:t>14) Yapılandırılmış Yatırım/Borçlanma Araçları Riskleri:</w:t>
      </w:r>
      <w:r w:rsidRPr="00ED295B">
        <w:rPr>
          <w:rFonts w:ascii="Times New Roman" w:hAnsi="Times New Roman" w:cs="Times New Roman"/>
          <w:sz w:val="24"/>
          <w:szCs w:val="24"/>
        </w:rP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w:t>
      </w:r>
      <w:r w:rsidRPr="00ED295B">
        <w:rPr>
          <w:rFonts w:ascii="Times New Roman" w:hAnsi="Times New Roman" w:cs="Times New Roman"/>
          <w:sz w:val="24"/>
          <w:szCs w:val="24"/>
        </w:rPr>
        <w:lastRenderedPageBreak/>
        <w:t xml:space="preserve">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ve koşulu aranır. </w:t>
      </w:r>
    </w:p>
    <w:p w14:paraId="7070D9CD" w14:textId="77777777" w:rsidR="00BA2F1E" w:rsidRPr="00BA2F1E" w:rsidRDefault="00BA2F1E" w:rsidP="00BA2F1E">
      <w:pPr>
        <w:pStyle w:val="ListeParagraf"/>
        <w:rPr>
          <w:rFonts w:ascii="Times New Roman" w:hAnsi="Times New Roman" w:cs="Times New Roman"/>
          <w:sz w:val="24"/>
          <w:szCs w:val="24"/>
        </w:rPr>
      </w:pPr>
    </w:p>
    <w:sectPr w:rsidR="00BA2F1E" w:rsidRPr="00BA2F1E" w:rsidSect="008A60CB">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7960" w14:textId="77777777" w:rsidR="00BA118B" w:rsidRDefault="00BA118B" w:rsidP="00A05B08">
      <w:pPr>
        <w:spacing w:after="0" w:line="240" w:lineRule="auto"/>
      </w:pPr>
      <w:r>
        <w:separator/>
      </w:r>
    </w:p>
  </w:endnote>
  <w:endnote w:type="continuationSeparator" w:id="0">
    <w:p w14:paraId="4AFC6343" w14:textId="77777777" w:rsidR="00BA118B" w:rsidRDefault="00BA118B"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ansSerif">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AD1C7" w14:textId="77777777" w:rsidR="00BA118B" w:rsidRDefault="00BA118B" w:rsidP="00A05B08">
      <w:pPr>
        <w:spacing w:after="0" w:line="240" w:lineRule="auto"/>
      </w:pPr>
      <w:r>
        <w:separator/>
      </w:r>
    </w:p>
  </w:footnote>
  <w:footnote w:type="continuationSeparator" w:id="0">
    <w:p w14:paraId="70023353" w14:textId="77777777" w:rsidR="00BA118B" w:rsidRDefault="00BA118B"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DE906" w14:textId="4F278308" w:rsidR="00E25F86" w:rsidRPr="0041052D" w:rsidRDefault="00E25F86" w:rsidP="00E25F86">
    <w:pPr>
      <w:pStyle w:val="stBilgi"/>
      <w:rPr>
        <w:rFonts w:ascii="Times New Roman" w:hAnsi="Times New Roman" w:cs="Times New Roman"/>
        <w:b/>
        <w:color w:val="1F3864" w:themeColor="accent5" w:themeShade="80"/>
        <w:sz w:val="24"/>
        <w:szCs w:val="24"/>
      </w:rPr>
    </w:pPr>
    <w:r w:rsidRPr="00CE4B04">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ROTA</w:t>
    </w:r>
    <w:r w:rsidRPr="00CE4B04">
      <w:rPr>
        <w:rFonts w:ascii="Times New Roman" w:hAnsi="Times New Roman" w:cs="Times New Roman"/>
        <w:b/>
        <w:color w:val="1F3864" w:themeColor="accent5" w:themeShade="80"/>
        <w:sz w:val="24"/>
        <w:szCs w:val="24"/>
      </w:rPr>
      <w:t xml:space="preserve"> HİSSE SENEDİ SERBEST</w:t>
    </w:r>
    <w:r w:rsidR="00D71683">
      <w:rPr>
        <w:rFonts w:ascii="Times New Roman" w:hAnsi="Times New Roman" w:cs="Times New Roman"/>
        <w:b/>
        <w:color w:val="1F3864" w:themeColor="accent5" w:themeShade="80"/>
        <w:sz w:val="24"/>
        <w:szCs w:val="24"/>
      </w:rPr>
      <w:t xml:space="preserve"> (TL)</w:t>
    </w:r>
    <w:r w:rsidRPr="00CE4B04">
      <w:rPr>
        <w:rFonts w:ascii="Times New Roman" w:hAnsi="Times New Roman" w:cs="Times New Roman"/>
        <w:b/>
        <w:color w:val="1F3864" w:themeColor="accent5" w:themeShade="80"/>
        <w:sz w:val="24"/>
        <w:szCs w:val="24"/>
      </w:rPr>
      <w:t xml:space="preserve"> FON (HİSSE SENEDİ YOĞUN 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463159927">
    <w:abstractNumId w:val="3"/>
  </w:num>
  <w:num w:numId="2" w16cid:durableId="770317751">
    <w:abstractNumId w:val="0"/>
  </w:num>
  <w:num w:numId="3" w16cid:durableId="1507548659">
    <w:abstractNumId w:val="7"/>
  </w:num>
  <w:num w:numId="4" w16cid:durableId="1247614379">
    <w:abstractNumId w:val="6"/>
  </w:num>
  <w:num w:numId="5" w16cid:durableId="954479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5102">
    <w:abstractNumId w:val="8"/>
  </w:num>
  <w:num w:numId="7" w16cid:durableId="2049991878">
    <w:abstractNumId w:val="2"/>
  </w:num>
  <w:num w:numId="8" w16cid:durableId="1844007778">
    <w:abstractNumId w:val="4"/>
  </w:num>
  <w:num w:numId="9" w16cid:durableId="30349736">
    <w:abstractNumId w:val="5"/>
  </w:num>
  <w:num w:numId="10" w16cid:durableId="200705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1FA4"/>
    <w:rsid w:val="00016B29"/>
    <w:rsid w:val="00030329"/>
    <w:rsid w:val="00032E31"/>
    <w:rsid w:val="000333B4"/>
    <w:rsid w:val="00044114"/>
    <w:rsid w:val="000669A7"/>
    <w:rsid w:val="000A0341"/>
    <w:rsid w:val="000A1D61"/>
    <w:rsid w:val="000B2046"/>
    <w:rsid w:val="000C31C2"/>
    <w:rsid w:val="000D2789"/>
    <w:rsid w:val="000E1417"/>
    <w:rsid w:val="000F7A0F"/>
    <w:rsid w:val="000F7B1B"/>
    <w:rsid w:val="00103F61"/>
    <w:rsid w:val="00106889"/>
    <w:rsid w:val="00137894"/>
    <w:rsid w:val="00154745"/>
    <w:rsid w:val="001A35EB"/>
    <w:rsid w:val="001B1348"/>
    <w:rsid w:val="001B1C6E"/>
    <w:rsid w:val="001C4968"/>
    <w:rsid w:val="001E0E01"/>
    <w:rsid w:val="002223B1"/>
    <w:rsid w:val="00223B91"/>
    <w:rsid w:val="0023421B"/>
    <w:rsid w:val="00236423"/>
    <w:rsid w:val="00237C1F"/>
    <w:rsid w:val="00242370"/>
    <w:rsid w:val="00275FAF"/>
    <w:rsid w:val="00294CF5"/>
    <w:rsid w:val="00295675"/>
    <w:rsid w:val="002A1EFC"/>
    <w:rsid w:val="002B133F"/>
    <w:rsid w:val="002D47A7"/>
    <w:rsid w:val="002E0202"/>
    <w:rsid w:val="002E2517"/>
    <w:rsid w:val="002E685D"/>
    <w:rsid w:val="002F33C2"/>
    <w:rsid w:val="00345E9E"/>
    <w:rsid w:val="00351EF4"/>
    <w:rsid w:val="00353A6C"/>
    <w:rsid w:val="00373F9B"/>
    <w:rsid w:val="00392B73"/>
    <w:rsid w:val="00395760"/>
    <w:rsid w:val="003B245E"/>
    <w:rsid w:val="003D35A3"/>
    <w:rsid w:val="003D4A1E"/>
    <w:rsid w:val="003D66F7"/>
    <w:rsid w:val="0041052D"/>
    <w:rsid w:val="00416252"/>
    <w:rsid w:val="00423502"/>
    <w:rsid w:val="00427C45"/>
    <w:rsid w:val="00495B04"/>
    <w:rsid w:val="004A5550"/>
    <w:rsid w:val="004C0E89"/>
    <w:rsid w:val="004C5257"/>
    <w:rsid w:val="004D6AE1"/>
    <w:rsid w:val="004E72E0"/>
    <w:rsid w:val="005130E2"/>
    <w:rsid w:val="0059113F"/>
    <w:rsid w:val="00596C79"/>
    <w:rsid w:val="005A19EC"/>
    <w:rsid w:val="005B1C77"/>
    <w:rsid w:val="005B4267"/>
    <w:rsid w:val="005C70A1"/>
    <w:rsid w:val="005D0231"/>
    <w:rsid w:val="005D3818"/>
    <w:rsid w:val="005F5413"/>
    <w:rsid w:val="0062182C"/>
    <w:rsid w:val="00621CF3"/>
    <w:rsid w:val="00623AF0"/>
    <w:rsid w:val="006554C1"/>
    <w:rsid w:val="00665CFD"/>
    <w:rsid w:val="006858ED"/>
    <w:rsid w:val="0068663D"/>
    <w:rsid w:val="006A0773"/>
    <w:rsid w:val="006B0E9D"/>
    <w:rsid w:val="006C07D6"/>
    <w:rsid w:val="006C2A23"/>
    <w:rsid w:val="006D1809"/>
    <w:rsid w:val="006E6949"/>
    <w:rsid w:val="006F02A0"/>
    <w:rsid w:val="006F1320"/>
    <w:rsid w:val="00705B32"/>
    <w:rsid w:val="00732B90"/>
    <w:rsid w:val="007403AA"/>
    <w:rsid w:val="00754EA2"/>
    <w:rsid w:val="007A0262"/>
    <w:rsid w:val="007B026C"/>
    <w:rsid w:val="007B4462"/>
    <w:rsid w:val="007B4E2D"/>
    <w:rsid w:val="007C73DD"/>
    <w:rsid w:val="007D2136"/>
    <w:rsid w:val="007D75CD"/>
    <w:rsid w:val="00817594"/>
    <w:rsid w:val="008260F4"/>
    <w:rsid w:val="0089041D"/>
    <w:rsid w:val="00897BBB"/>
    <w:rsid w:val="008A214C"/>
    <w:rsid w:val="008A2B04"/>
    <w:rsid w:val="008A4183"/>
    <w:rsid w:val="008A4474"/>
    <w:rsid w:val="008A60CB"/>
    <w:rsid w:val="008C136E"/>
    <w:rsid w:val="00901163"/>
    <w:rsid w:val="00942BAD"/>
    <w:rsid w:val="009459F8"/>
    <w:rsid w:val="00973E09"/>
    <w:rsid w:val="00976460"/>
    <w:rsid w:val="009A6126"/>
    <w:rsid w:val="009C7259"/>
    <w:rsid w:val="00A05B08"/>
    <w:rsid w:val="00A17399"/>
    <w:rsid w:val="00A23DDD"/>
    <w:rsid w:val="00A263C6"/>
    <w:rsid w:val="00A2654E"/>
    <w:rsid w:val="00A3028C"/>
    <w:rsid w:val="00A50942"/>
    <w:rsid w:val="00A6163A"/>
    <w:rsid w:val="00A667D5"/>
    <w:rsid w:val="00A67A8A"/>
    <w:rsid w:val="00A779B1"/>
    <w:rsid w:val="00A9772D"/>
    <w:rsid w:val="00AA17B4"/>
    <w:rsid w:val="00AB62AB"/>
    <w:rsid w:val="00AD4058"/>
    <w:rsid w:val="00AF34F7"/>
    <w:rsid w:val="00AF3A9D"/>
    <w:rsid w:val="00AF5CBB"/>
    <w:rsid w:val="00AF72F4"/>
    <w:rsid w:val="00B0426D"/>
    <w:rsid w:val="00B212E2"/>
    <w:rsid w:val="00B31E30"/>
    <w:rsid w:val="00B87B3D"/>
    <w:rsid w:val="00B975CA"/>
    <w:rsid w:val="00BA118B"/>
    <w:rsid w:val="00BA2C65"/>
    <w:rsid w:val="00BA2F1E"/>
    <w:rsid w:val="00BC0AF1"/>
    <w:rsid w:val="00BC4211"/>
    <w:rsid w:val="00BE37F7"/>
    <w:rsid w:val="00BF2B84"/>
    <w:rsid w:val="00BF54DE"/>
    <w:rsid w:val="00C158F7"/>
    <w:rsid w:val="00C16969"/>
    <w:rsid w:val="00C43E25"/>
    <w:rsid w:val="00C86B07"/>
    <w:rsid w:val="00CC0D71"/>
    <w:rsid w:val="00CC7520"/>
    <w:rsid w:val="00CD4C99"/>
    <w:rsid w:val="00CD7184"/>
    <w:rsid w:val="00CE6762"/>
    <w:rsid w:val="00CF029B"/>
    <w:rsid w:val="00D06446"/>
    <w:rsid w:val="00D302F4"/>
    <w:rsid w:val="00D325EC"/>
    <w:rsid w:val="00D34E03"/>
    <w:rsid w:val="00D36275"/>
    <w:rsid w:val="00D42D4B"/>
    <w:rsid w:val="00D52CC0"/>
    <w:rsid w:val="00D7161B"/>
    <w:rsid w:val="00D71683"/>
    <w:rsid w:val="00D81B9A"/>
    <w:rsid w:val="00D95EEE"/>
    <w:rsid w:val="00DF3BED"/>
    <w:rsid w:val="00E12E3B"/>
    <w:rsid w:val="00E25F86"/>
    <w:rsid w:val="00E27CCD"/>
    <w:rsid w:val="00E3350C"/>
    <w:rsid w:val="00E50129"/>
    <w:rsid w:val="00E522F3"/>
    <w:rsid w:val="00E815C1"/>
    <w:rsid w:val="00EA6514"/>
    <w:rsid w:val="00EA6C4D"/>
    <w:rsid w:val="00EB4E0D"/>
    <w:rsid w:val="00EC15BE"/>
    <w:rsid w:val="00ED76F3"/>
    <w:rsid w:val="00EE1C8B"/>
    <w:rsid w:val="00EF2040"/>
    <w:rsid w:val="00EF700D"/>
    <w:rsid w:val="00F10653"/>
    <w:rsid w:val="00F42315"/>
    <w:rsid w:val="00F55070"/>
    <w:rsid w:val="00F5703C"/>
    <w:rsid w:val="00F70D62"/>
    <w:rsid w:val="00F76DF3"/>
    <w:rsid w:val="00F94051"/>
    <w:rsid w:val="00FA1556"/>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7AE7E774-8175-4F17-A305-7E18ADA6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5130E2"/>
    <w:rPr>
      <w:sz w:val="16"/>
      <w:szCs w:val="16"/>
    </w:rPr>
  </w:style>
  <w:style w:type="paragraph" w:styleId="AklamaMetni">
    <w:name w:val="annotation text"/>
    <w:basedOn w:val="Normal"/>
    <w:link w:val="AklamaMetniChar"/>
    <w:uiPriority w:val="99"/>
    <w:unhideWhenUsed/>
    <w:rsid w:val="005130E2"/>
    <w:pPr>
      <w:spacing w:line="240" w:lineRule="auto"/>
    </w:pPr>
    <w:rPr>
      <w:sz w:val="20"/>
      <w:szCs w:val="20"/>
    </w:rPr>
  </w:style>
  <w:style w:type="character" w:customStyle="1" w:styleId="AklamaMetniChar">
    <w:name w:val="Açıklama Metni Char"/>
    <w:basedOn w:val="VarsaylanParagrafYazTipi"/>
    <w:link w:val="AklamaMetni"/>
    <w:uiPriority w:val="99"/>
    <w:rsid w:val="005130E2"/>
    <w:rPr>
      <w:sz w:val="20"/>
      <w:szCs w:val="20"/>
    </w:rPr>
  </w:style>
  <w:style w:type="paragraph" w:styleId="AklamaKonusu">
    <w:name w:val="annotation subject"/>
    <w:basedOn w:val="AklamaMetni"/>
    <w:next w:val="AklamaMetni"/>
    <w:link w:val="AklamaKonusuChar"/>
    <w:uiPriority w:val="99"/>
    <w:semiHidden/>
    <w:unhideWhenUsed/>
    <w:rsid w:val="005130E2"/>
    <w:rPr>
      <w:b/>
      <w:bCs/>
    </w:rPr>
  </w:style>
  <w:style w:type="character" w:customStyle="1" w:styleId="AklamaKonusuChar">
    <w:name w:val="Açıklama Konusu Char"/>
    <w:basedOn w:val="AklamaMetniChar"/>
    <w:link w:val="AklamaKonusu"/>
    <w:uiPriority w:val="99"/>
    <w:semiHidden/>
    <w:rsid w:val="005130E2"/>
    <w:rPr>
      <w:b/>
      <w:bCs/>
      <w:sz w:val="20"/>
      <w:szCs w:val="20"/>
    </w:rPr>
  </w:style>
  <w:style w:type="paragraph" w:styleId="Dzeltme">
    <w:name w:val="Revision"/>
    <w:hidden/>
    <w:uiPriority w:val="99"/>
    <w:semiHidden/>
    <w:rsid w:val="00B87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3047">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64777689">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67800143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21979603">
      <w:bodyDiv w:val="1"/>
      <w:marLeft w:val="0"/>
      <w:marRight w:val="0"/>
      <w:marTop w:val="0"/>
      <w:marBottom w:val="0"/>
      <w:divBdr>
        <w:top w:val="none" w:sz="0" w:space="0" w:color="auto"/>
        <w:left w:val="none" w:sz="0" w:space="0" w:color="auto"/>
        <w:bottom w:val="none" w:sz="0" w:space="0" w:color="auto"/>
        <w:right w:val="none" w:sz="0" w:space="0" w:color="auto"/>
      </w:divBdr>
    </w:div>
    <w:div w:id="1026322274">
      <w:bodyDiv w:val="1"/>
      <w:marLeft w:val="0"/>
      <w:marRight w:val="0"/>
      <w:marTop w:val="0"/>
      <w:marBottom w:val="0"/>
      <w:divBdr>
        <w:top w:val="none" w:sz="0" w:space="0" w:color="auto"/>
        <w:left w:val="none" w:sz="0" w:space="0" w:color="auto"/>
        <w:bottom w:val="none" w:sz="0" w:space="0" w:color="auto"/>
        <w:right w:val="none" w:sz="0" w:space="0" w:color="auto"/>
      </w:divBdr>
    </w:div>
    <w:div w:id="1126241683">
      <w:bodyDiv w:val="1"/>
      <w:marLeft w:val="0"/>
      <w:marRight w:val="0"/>
      <w:marTop w:val="0"/>
      <w:marBottom w:val="0"/>
      <w:divBdr>
        <w:top w:val="none" w:sz="0" w:space="0" w:color="auto"/>
        <w:left w:val="none" w:sz="0" w:space="0" w:color="auto"/>
        <w:bottom w:val="none" w:sz="0" w:space="0" w:color="auto"/>
        <w:right w:val="none" w:sz="0" w:space="0" w:color="auto"/>
      </w:divBdr>
    </w:div>
    <w:div w:id="1226910344">
      <w:bodyDiv w:val="1"/>
      <w:marLeft w:val="0"/>
      <w:marRight w:val="0"/>
      <w:marTop w:val="0"/>
      <w:marBottom w:val="0"/>
      <w:divBdr>
        <w:top w:val="none" w:sz="0" w:space="0" w:color="auto"/>
        <w:left w:val="none" w:sz="0" w:space="0" w:color="auto"/>
        <w:bottom w:val="none" w:sz="0" w:space="0" w:color="auto"/>
        <w:right w:val="none" w:sz="0" w:space="0" w:color="auto"/>
      </w:divBdr>
    </w:div>
    <w:div w:id="1246494898">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89962167">
      <w:bodyDiv w:val="1"/>
      <w:marLeft w:val="0"/>
      <w:marRight w:val="0"/>
      <w:marTop w:val="0"/>
      <w:marBottom w:val="0"/>
      <w:divBdr>
        <w:top w:val="none" w:sz="0" w:space="0" w:color="auto"/>
        <w:left w:val="none" w:sz="0" w:space="0" w:color="auto"/>
        <w:bottom w:val="none" w:sz="0" w:space="0" w:color="auto"/>
        <w:right w:val="none" w:sz="0" w:space="0" w:color="auto"/>
      </w:divBdr>
    </w:div>
    <w:div w:id="1537540538">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49019944">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2003967286">
      <w:bodyDiv w:val="1"/>
      <w:marLeft w:val="0"/>
      <w:marRight w:val="0"/>
      <w:marTop w:val="0"/>
      <w:marBottom w:val="0"/>
      <w:divBdr>
        <w:top w:val="none" w:sz="0" w:space="0" w:color="auto"/>
        <w:left w:val="none" w:sz="0" w:space="0" w:color="auto"/>
        <w:bottom w:val="none" w:sz="0" w:space="0" w:color="auto"/>
        <w:right w:val="none" w:sz="0" w:space="0" w:color="auto"/>
      </w:divBdr>
    </w:div>
    <w:div w:id="2012415625">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60668492">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D375E182C1F74C4F9EF7369E1EB95F0B" ma:contentTypeVersion="14" ma:contentTypeDescription="Yeni belge oluşturun." ma:contentTypeScope="" ma:versionID="5eec6faed8f2e146caaa599539bba565">
  <xsd:schema xmlns:xsd="http://www.w3.org/2001/XMLSchema" xmlns:xs="http://www.w3.org/2001/XMLSchema" xmlns:p="http://schemas.microsoft.com/office/2006/metadata/properties" xmlns:ns2="2d992040-9a13-4d8d-8f54-04c65d15be30" xmlns:ns3="b5f6ff35-dc51-491f-ad75-acc2d04d6cdc" targetNamespace="http://schemas.microsoft.com/office/2006/metadata/properties" ma:root="true" ma:fieldsID="99c733428bf971784f6d32bc07b644bc" ns2:_="" ns3:_="">
    <xsd:import namespace="2d992040-9a13-4d8d-8f54-04c65d15be30"/>
    <xsd:import namespace="b5f6ff35-dc51-491f-ad75-acc2d04d6c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2040-9a13-4d8d-8f54-04c65d15be3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2d6bedec-8cfd-4e0f-8226-a1db42b6a0de}" ma:internalName="TaxCatchAll" ma:showField="CatchAllData" ma:web="2d992040-9a13-4d8d-8f54-04c65d15be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f6ff35-dc51-491f-ad75-acc2d04d6c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49268-98D7-4D24-8D14-0F8356A10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992040-9a13-4d8d-8f54-04c65d15be30"/>
    <ds:schemaRef ds:uri="b5f6ff35-dc51-491f-ad75-acc2d04d6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0EBB2-DBDD-47DD-B975-7095E0BEB500}">
  <ds:schemaRefs>
    <ds:schemaRef ds:uri="http://schemas.openxmlformats.org/officeDocument/2006/bibliography"/>
  </ds:schemaRefs>
</ds:datastoreItem>
</file>

<file path=customXml/itemProps3.xml><?xml version="1.0" encoding="utf-8"?>
<ds:datastoreItem xmlns:ds="http://schemas.openxmlformats.org/officeDocument/2006/customXml" ds:itemID="{93AA6AC9-5806-4AF6-BDAA-2E54E8A70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1661</Words>
  <Characters>9469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21</cp:revision>
  <cp:lastPrinted>2018-01-05T06:32:00Z</cp:lastPrinted>
  <dcterms:created xsi:type="dcterms:W3CDTF">2023-07-21T12:24:00Z</dcterms:created>
  <dcterms:modified xsi:type="dcterms:W3CDTF">2024-07-04T08:25:00Z</dcterms:modified>
</cp:coreProperties>
</file>