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B82E" w14:textId="77777777" w:rsidR="00B233A8" w:rsidRPr="00EC42EC" w:rsidRDefault="00B233A8" w:rsidP="00B233A8">
      <w:pPr>
        <w:jc w:val="center"/>
        <w:rPr>
          <w:b/>
        </w:rPr>
      </w:pPr>
      <w:r>
        <w:rPr>
          <w:b/>
        </w:rPr>
        <w:t>HEDEF PORTFÖY YÖNETİMİ A.Ş. HİSSE SENEDİ</w:t>
      </w:r>
      <w:r w:rsidRPr="00EC42EC">
        <w:rPr>
          <w:b/>
        </w:rPr>
        <w:t xml:space="preserve"> ŞEMSİYE FONU’NA BAĞLI </w:t>
      </w:r>
    </w:p>
    <w:p w14:paraId="0217625C" w14:textId="77DA3264" w:rsidR="00B233A8" w:rsidRPr="00EC42EC" w:rsidRDefault="00B233A8" w:rsidP="00B233A8">
      <w:pPr>
        <w:jc w:val="center"/>
        <w:rPr>
          <w:b/>
        </w:rPr>
      </w:pPr>
      <w:r>
        <w:rPr>
          <w:b/>
        </w:rPr>
        <w:t xml:space="preserve">HEDEF PORTFÖY </w:t>
      </w:r>
      <w:r w:rsidR="00D74A10">
        <w:rPr>
          <w:b/>
        </w:rPr>
        <w:t xml:space="preserve">BİRİNCİ </w:t>
      </w:r>
      <w:r>
        <w:rPr>
          <w:b/>
        </w:rPr>
        <w:t xml:space="preserve">HİSSE SENEDİ </w:t>
      </w:r>
      <w:r w:rsidR="001510E7">
        <w:rPr>
          <w:b/>
        </w:rPr>
        <w:t xml:space="preserve">(TL) </w:t>
      </w:r>
      <w:r w:rsidRPr="00EC42EC">
        <w:rPr>
          <w:b/>
        </w:rPr>
        <w:t>FONU</w:t>
      </w:r>
      <w:r>
        <w:rPr>
          <w:b/>
        </w:rPr>
        <w:t xml:space="preserve"> (HİSSE SENEDİ YOĞUN FON)’NUN</w:t>
      </w:r>
      <w:r w:rsidR="00E01374">
        <w:rPr>
          <w:b/>
        </w:rPr>
        <w:t xml:space="preserve"> </w:t>
      </w:r>
      <w:r w:rsidRPr="00EC42EC">
        <w:rPr>
          <w:b/>
        </w:rPr>
        <w:t>KATILMA PAYLARININ İHRACINA İLİŞKİN</w:t>
      </w:r>
    </w:p>
    <w:p w14:paraId="56250357" w14:textId="77777777" w:rsidR="00B233A8" w:rsidRPr="00EC42EC" w:rsidRDefault="00B233A8" w:rsidP="00B233A8">
      <w:pPr>
        <w:jc w:val="center"/>
      </w:pPr>
      <w:r w:rsidRPr="00EC42EC">
        <w:rPr>
          <w:b/>
        </w:rPr>
        <w:t>İZAHNAME</w:t>
      </w:r>
    </w:p>
    <w:p w14:paraId="64FE08FB" w14:textId="77777777" w:rsidR="00B233A8" w:rsidRPr="00EC42EC" w:rsidRDefault="00B233A8" w:rsidP="00B233A8"/>
    <w:p w14:paraId="00AB7701" w14:textId="518A011C" w:rsidR="00B233A8" w:rsidRPr="00EC42EC" w:rsidRDefault="00B233A8" w:rsidP="00B233A8">
      <w:pPr>
        <w:rPr>
          <w:b/>
        </w:rPr>
      </w:pPr>
      <w:r>
        <w:rPr>
          <w:b/>
        </w:rPr>
        <w:t xml:space="preserve">Hedef Portföy Yönetimi </w:t>
      </w:r>
      <w:r w:rsidRPr="00EC42EC">
        <w:rPr>
          <w:b/>
        </w:rPr>
        <w:t xml:space="preserve">A.Ş. tarafından 6362 sayılı Sermaye Piyasası Kanunu'nun 52. ve 54. maddelerine dayanılarak, </w:t>
      </w:r>
      <w:r>
        <w:rPr>
          <w:b/>
        </w:rPr>
        <w:t>05.06.2020</w:t>
      </w:r>
      <w:r w:rsidRPr="00EC42EC">
        <w:rPr>
          <w:b/>
        </w:rPr>
        <w:t xml:space="preserve"> </w:t>
      </w:r>
      <w:r>
        <w:rPr>
          <w:b/>
        </w:rPr>
        <w:t>t</w:t>
      </w:r>
      <w:r w:rsidRPr="00EC42EC">
        <w:rPr>
          <w:b/>
        </w:rPr>
        <w:t>arihinde</w:t>
      </w:r>
      <w:r>
        <w:rPr>
          <w:b/>
        </w:rPr>
        <w:t xml:space="preserve"> İstanbul</w:t>
      </w:r>
      <w:r w:rsidRPr="00EC42EC">
        <w:rPr>
          <w:b/>
        </w:rPr>
        <w:t xml:space="preserve"> ili Ticaret Sicili </w:t>
      </w:r>
      <w:proofErr w:type="spellStart"/>
      <w:r w:rsidRPr="00EC42EC">
        <w:rPr>
          <w:b/>
        </w:rPr>
        <w:t>Memurluğu’na</w:t>
      </w:r>
      <w:proofErr w:type="spellEnd"/>
      <w:r w:rsidRPr="00EC42EC">
        <w:rPr>
          <w:b/>
        </w:rPr>
        <w:t xml:space="preserve"> </w:t>
      </w:r>
      <w:r>
        <w:rPr>
          <w:b/>
        </w:rPr>
        <w:t>844433</w:t>
      </w:r>
      <w:r w:rsidRPr="00EC42EC">
        <w:rPr>
          <w:b/>
        </w:rPr>
        <w:t xml:space="preserve"> sicil numarası altında kaydedilerek </w:t>
      </w:r>
      <w:r>
        <w:rPr>
          <w:b/>
        </w:rPr>
        <w:t>10.06.2020</w:t>
      </w:r>
      <w:r w:rsidRPr="00EC42EC">
        <w:rPr>
          <w:b/>
        </w:rPr>
        <w:t xml:space="preserve"> tarih ve </w:t>
      </w:r>
      <w:r>
        <w:rPr>
          <w:b/>
        </w:rPr>
        <w:t>10094</w:t>
      </w:r>
      <w:r w:rsidRPr="00EC42EC">
        <w:rPr>
          <w:b/>
        </w:rPr>
        <w:t xml:space="preserve"> sayılı Türkiye Ticaret Sicili Gazetesi’nde ilan edilen </w:t>
      </w:r>
      <w:r>
        <w:rPr>
          <w:b/>
        </w:rPr>
        <w:t xml:space="preserve">Hedef Portföy Yönetimi A.Ş. Hisse Senedi </w:t>
      </w:r>
      <w:r w:rsidRPr="00EC42EC">
        <w:rPr>
          <w:b/>
        </w:rPr>
        <w:t xml:space="preserve">Şemsiye Fonu içtüzüğü ve bu izahname hükümlerine göre yönetilmek üzere oluşturulacak </w:t>
      </w:r>
      <w:r>
        <w:rPr>
          <w:b/>
        </w:rPr>
        <w:t xml:space="preserve">Hedef Portföy </w:t>
      </w:r>
      <w:r w:rsidR="00D74A10">
        <w:rPr>
          <w:b/>
        </w:rPr>
        <w:t xml:space="preserve">Birinci </w:t>
      </w:r>
      <w:r>
        <w:rPr>
          <w:b/>
        </w:rPr>
        <w:t xml:space="preserve">Hisse Senedi </w:t>
      </w:r>
      <w:r w:rsidRPr="00EC42EC">
        <w:rPr>
          <w:b/>
        </w:rPr>
        <w:t xml:space="preserve"> Fonu</w:t>
      </w:r>
      <w:r>
        <w:rPr>
          <w:b/>
        </w:rPr>
        <w:t xml:space="preserve"> (Hisse Senedi Yoğun Fon)</w:t>
      </w:r>
      <w:r w:rsidRPr="00EC42EC">
        <w:rPr>
          <w:b/>
        </w:rPr>
        <w:t>’</w:t>
      </w:r>
      <w:proofErr w:type="spellStart"/>
      <w:r w:rsidRPr="00EC42EC">
        <w:rPr>
          <w:b/>
        </w:rPr>
        <w:t>nun</w:t>
      </w:r>
      <w:proofErr w:type="spellEnd"/>
      <w:r w:rsidRPr="00EC42EC">
        <w:rPr>
          <w:b/>
        </w:rPr>
        <w:t xml:space="preserve"> katılma paylarının ihracına ilişkin bu izahname Sermaye Piyasası Kurulu tarafından </w:t>
      </w:r>
      <w:r w:rsidR="007F73C0">
        <w:rPr>
          <w:b/>
        </w:rPr>
        <w:t>17</w:t>
      </w:r>
      <w:r w:rsidRPr="00EC42EC">
        <w:rPr>
          <w:b/>
        </w:rPr>
        <w:t>/</w:t>
      </w:r>
      <w:r w:rsidR="007F73C0">
        <w:rPr>
          <w:b/>
        </w:rPr>
        <w:t>07</w:t>
      </w:r>
      <w:r w:rsidRPr="00EC42EC">
        <w:rPr>
          <w:b/>
        </w:rPr>
        <w:t>/</w:t>
      </w:r>
      <w:r w:rsidR="007F73C0">
        <w:rPr>
          <w:b/>
        </w:rPr>
        <w:t>2020</w:t>
      </w:r>
      <w:r>
        <w:rPr>
          <w:b/>
        </w:rPr>
        <w:t xml:space="preserve"> tarihinde onaylanmıştır.</w:t>
      </w:r>
    </w:p>
    <w:p w14:paraId="4D011177" w14:textId="20E25D18" w:rsidR="00B233A8" w:rsidRDefault="00B233A8" w:rsidP="00B233A8">
      <w:pPr>
        <w:rPr>
          <w:b/>
        </w:rPr>
      </w:pPr>
    </w:p>
    <w:p w14:paraId="271A37F7" w14:textId="1139BEDF" w:rsidR="00B227E7" w:rsidRDefault="00B227E7" w:rsidP="00B233A8">
      <w:pPr>
        <w:rPr>
          <w:b/>
        </w:rPr>
      </w:pPr>
      <w:r w:rsidRPr="00D2365A">
        <w:rPr>
          <w:b/>
          <w:bCs/>
          <w:color w:val="000000"/>
          <w:lang w:eastAsia="en-US"/>
        </w:rPr>
        <w:t xml:space="preserve">Sermaye Piyasası Kurulu’ndan alınan </w:t>
      </w:r>
      <w:r>
        <w:rPr>
          <w:b/>
          <w:bCs/>
          <w:color w:val="000000"/>
          <w:lang w:eastAsia="en-US"/>
        </w:rPr>
        <w:t>29</w:t>
      </w:r>
      <w:r w:rsidRPr="00D2365A">
        <w:rPr>
          <w:b/>
          <w:bCs/>
          <w:color w:val="000000"/>
          <w:lang w:eastAsia="en-US"/>
        </w:rPr>
        <w:t>/</w:t>
      </w:r>
      <w:r>
        <w:rPr>
          <w:b/>
          <w:bCs/>
          <w:color w:val="000000"/>
          <w:lang w:eastAsia="en-US"/>
        </w:rPr>
        <w:t>08/</w:t>
      </w:r>
      <w:r w:rsidRPr="00D2365A">
        <w:rPr>
          <w:b/>
          <w:bCs/>
          <w:color w:val="000000"/>
          <w:lang w:eastAsia="en-US"/>
        </w:rPr>
        <w:t xml:space="preserve">2022 tarih ve </w:t>
      </w:r>
      <w:r w:rsidRPr="00B227E7">
        <w:rPr>
          <w:b/>
          <w:bCs/>
          <w:color w:val="000000"/>
          <w:lang w:eastAsia="en-US"/>
        </w:rPr>
        <w:t>12233903-305.04-25518</w:t>
      </w:r>
      <w:r w:rsidRPr="00D2365A">
        <w:rPr>
          <w:b/>
          <w:bCs/>
          <w:color w:val="000000"/>
          <w:lang w:eastAsia="en-US"/>
        </w:rPr>
        <w:t xml:space="preserve"> sayılı izin doğrultusunda Fon’un unvanı “Hedef Portföy </w:t>
      </w:r>
      <w:r>
        <w:rPr>
          <w:b/>
          <w:bCs/>
          <w:color w:val="000000"/>
          <w:lang w:eastAsia="en-US"/>
        </w:rPr>
        <w:t xml:space="preserve">Birinci Hisse Senedi </w:t>
      </w:r>
      <w:r w:rsidRPr="00D2365A">
        <w:rPr>
          <w:b/>
          <w:bCs/>
          <w:color w:val="000000"/>
          <w:lang w:eastAsia="en-US"/>
        </w:rPr>
        <w:t>(TL) Fon</w:t>
      </w:r>
      <w:r>
        <w:rPr>
          <w:b/>
          <w:bCs/>
          <w:color w:val="000000"/>
          <w:lang w:eastAsia="en-US"/>
        </w:rPr>
        <w:t>u (Hisse Senedi Yoğun Fon)</w:t>
      </w:r>
      <w:r w:rsidRPr="00D2365A">
        <w:rPr>
          <w:b/>
          <w:bCs/>
          <w:color w:val="000000"/>
          <w:lang w:eastAsia="en-US"/>
        </w:rPr>
        <w:t>” olarak değiştirilmiştir</w:t>
      </w:r>
    </w:p>
    <w:p w14:paraId="74E30865" w14:textId="77777777" w:rsidR="00B227E7" w:rsidRPr="00EC42EC" w:rsidRDefault="00B227E7" w:rsidP="00B233A8">
      <w:pPr>
        <w:rPr>
          <w:b/>
        </w:rPr>
      </w:pPr>
    </w:p>
    <w:p w14:paraId="3D07F399" w14:textId="77777777" w:rsidR="00B233A8" w:rsidRPr="00EC42EC" w:rsidRDefault="00B233A8" w:rsidP="00B233A8">
      <w:pPr>
        <w:rPr>
          <w:b/>
        </w:rPr>
      </w:pPr>
      <w:r w:rsidRPr="00EC42EC">
        <w:rPr>
          <w:b/>
        </w:rPr>
        <w:t xml:space="preserve">İzahnamenin onaylanması, izahnamede yer alan bilgilerin doğru olduğunun Kurulca tekeffülü anlamına gelmeyeceği gibi, izahnameye ilişkin bir tavsiye olarak da kabul edilemez. </w:t>
      </w:r>
    </w:p>
    <w:p w14:paraId="75191310" w14:textId="77777777" w:rsidR="00B233A8" w:rsidRPr="00EC42EC" w:rsidRDefault="00B233A8" w:rsidP="00B233A8">
      <w:pPr>
        <w:spacing w:before="120"/>
        <w:rPr>
          <w:b/>
        </w:rPr>
      </w:pPr>
      <w:r w:rsidRPr="00EC42EC">
        <w:rPr>
          <w:b/>
        </w:rPr>
        <w:t>İhraç</w:t>
      </w:r>
      <w:r>
        <w:rPr>
          <w:b/>
        </w:rPr>
        <w:t xml:space="preserve"> </w:t>
      </w:r>
      <w:r w:rsidRPr="00EC42EC">
        <w:rPr>
          <w:b/>
        </w:rPr>
        <w:t>edilecek katılma paylarına ilişkin yatırım kararları izahnamenin bir bütün olarak değerlendirilmesi sonucu verilmelidir.</w:t>
      </w:r>
    </w:p>
    <w:p w14:paraId="5DFD4EE3" w14:textId="0EB4DD77" w:rsidR="00B233A8" w:rsidRDefault="00B233A8" w:rsidP="00B233A8">
      <w:pPr>
        <w:spacing w:before="120"/>
        <w:rPr>
          <w:b/>
        </w:rPr>
      </w:pPr>
      <w:r w:rsidRPr="00EC42EC">
        <w:rPr>
          <w:b/>
        </w:rPr>
        <w:t xml:space="preserve">Bu izahname, Kurucu </w:t>
      </w:r>
      <w:r>
        <w:rPr>
          <w:b/>
        </w:rPr>
        <w:t>Hedef</w:t>
      </w:r>
      <w:r w:rsidRPr="00EC42EC">
        <w:rPr>
          <w:b/>
        </w:rPr>
        <w:t xml:space="preserve"> Portföy Yönetimi A.Ş.’</w:t>
      </w:r>
      <w:proofErr w:type="spellStart"/>
      <w:r w:rsidRPr="00EC42EC">
        <w:rPr>
          <w:b/>
        </w:rPr>
        <w:t>nin</w:t>
      </w:r>
      <w:proofErr w:type="spellEnd"/>
      <w:r w:rsidRPr="00EC42EC">
        <w:rPr>
          <w:b/>
        </w:rPr>
        <w:t xml:space="preserve"> </w:t>
      </w:r>
      <w:hyperlink r:id="rId8" w:history="1">
        <w:r w:rsidRPr="00B97BFF">
          <w:rPr>
            <w:rStyle w:val="Hyperlink"/>
            <w:b/>
          </w:rPr>
          <w:t>www.hedefportfoy.com</w:t>
        </w:r>
      </w:hyperlink>
      <w:r>
        <w:rPr>
          <w:b/>
        </w:rPr>
        <w:t xml:space="preserve"> </w:t>
      </w:r>
      <w:r w:rsidRPr="00EC42EC">
        <w:rPr>
          <w:b/>
        </w:rPr>
        <w:t>adresli resmi internet sitesi ile Kamuyu Aydınlatma Platformu (KAP)’</w:t>
      </w:r>
      <w:proofErr w:type="spellStart"/>
      <w:r w:rsidRPr="00EC42EC">
        <w:rPr>
          <w:b/>
        </w:rPr>
        <w:t>nda</w:t>
      </w:r>
      <w:proofErr w:type="spellEnd"/>
      <w:r w:rsidRPr="00EC42EC">
        <w:rPr>
          <w:b/>
        </w:rPr>
        <w:t xml:space="preserve"> (</w:t>
      </w:r>
      <w:hyperlink r:id="rId9" w:history="1">
        <w:r w:rsidRPr="003C18FA">
          <w:rPr>
            <w:rStyle w:val="Hyperlink"/>
            <w:b/>
          </w:rPr>
          <w:t>www.kap.org.tr</w:t>
        </w:r>
      </w:hyperlink>
      <w:r w:rsidRPr="00EC42EC">
        <w:rPr>
          <w:b/>
        </w:rPr>
        <w:t>) yayımlanmıştır</w:t>
      </w:r>
      <w:r>
        <w:rPr>
          <w:b/>
        </w:rPr>
        <w:t>.</w:t>
      </w:r>
      <w:r w:rsidRPr="0046508A">
        <w:rPr>
          <w:b/>
        </w:rPr>
        <w:t xml:space="preserve"> </w:t>
      </w:r>
      <w:r w:rsidRPr="00EC42EC">
        <w:rPr>
          <w:b/>
        </w:rPr>
        <w:t>İzahnamenin nerede yayımlandığı hususu</w:t>
      </w:r>
      <w:r>
        <w:rPr>
          <w:b/>
        </w:rPr>
        <w:t xml:space="preserve">nun tescili ve </w:t>
      </w:r>
      <w:proofErr w:type="spellStart"/>
      <w:r w:rsidRPr="00EC42EC">
        <w:rPr>
          <w:b/>
        </w:rPr>
        <w:t>TTSG’de</w:t>
      </w:r>
      <w:proofErr w:type="spellEnd"/>
      <w:r w:rsidRPr="00EC42EC">
        <w:rPr>
          <w:b/>
        </w:rPr>
        <w:t xml:space="preserve"> ilan </w:t>
      </w:r>
      <w:r>
        <w:rPr>
          <w:b/>
        </w:rPr>
        <w:t>tarihine ilişkin bilgiler yatırımcı bilgi formunda yer almaktadır</w:t>
      </w:r>
      <w:r w:rsidRPr="00EC42EC">
        <w:rPr>
          <w:b/>
        </w:rPr>
        <w:t>.</w:t>
      </w:r>
    </w:p>
    <w:p w14:paraId="59C840E4" w14:textId="77777777" w:rsidR="00B233A8" w:rsidRPr="00EC42EC" w:rsidRDefault="00B233A8" w:rsidP="00B233A8">
      <w:pPr>
        <w:spacing w:before="120"/>
        <w:rPr>
          <w:b/>
        </w:rPr>
      </w:pPr>
      <w:r w:rsidRPr="00EC42EC">
        <w:rPr>
          <w:b/>
        </w:rPr>
        <w:t xml:space="preserve"> Ayrıca bu izahname </w:t>
      </w:r>
      <w:r w:rsidRPr="00EC42EC">
        <w:rPr>
          <w:b/>
          <w:bCs/>
          <w:color w:val="000000"/>
        </w:rPr>
        <w:t>katılma paylarının alım satımının yapıldığı ortamlarda, şemsiye fon içtüzüğü ve yatırımcı bilgi formu ile birlikte, talep edilmesi halinde ücretsiz olarak yatırımcılara verilir.</w:t>
      </w:r>
    </w:p>
    <w:p w14:paraId="726E5047" w14:textId="77777777" w:rsidR="00B233A8" w:rsidRPr="00EC42EC" w:rsidRDefault="00B233A8" w:rsidP="00B233A8">
      <w:pPr>
        <w:spacing w:before="120"/>
        <w:rPr>
          <w:b/>
        </w:rPr>
      </w:pPr>
    </w:p>
    <w:p w14:paraId="0D0AB1C0" w14:textId="77777777" w:rsidR="00B233A8" w:rsidRPr="00EC42EC" w:rsidRDefault="00B233A8" w:rsidP="00B233A8">
      <w:pPr>
        <w:spacing w:before="120"/>
        <w:rPr>
          <w:b/>
        </w:rPr>
      </w:pPr>
    </w:p>
    <w:p w14:paraId="6E51D343" w14:textId="77777777" w:rsidR="00B233A8" w:rsidRPr="00EC42EC" w:rsidRDefault="00B233A8" w:rsidP="00B233A8">
      <w:pPr>
        <w:rPr>
          <w:bCs/>
          <w:color w:val="000000"/>
        </w:rPr>
      </w:pPr>
    </w:p>
    <w:p w14:paraId="54229A3D" w14:textId="77777777" w:rsidR="00B233A8" w:rsidRPr="00EC42EC" w:rsidRDefault="00B233A8" w:rsidP="00B233A8">
      <w:pPr>
        <w:rPr>
          <w:rFonts w:eastAsia="Calibri"/>
          <w:lang w:val="en-US" w:eastAsia="en-US"/>
        </w:rPr>
      </w:pPr>
    </w:p>
    <w:p w14:paraId="4E83FB63" w14:textId="77777777" w:rsidR="00B233A8" w:rsidRPr="00EC42EC" w:rsidRDefault="00B233A8" w:rsidP="00B233A8"/>
    <w:p w14:paraId="233E5A4B" w14:textId="77777777" w:rsidR="00186B1A" w:rsidRPr="000B6125" w:rsidRDefault="00B233A8" w:rsidP="00186B1A">
      <w:pPr>
        <w:spacing w:before="65"/>
        <w:ind w:left="709" w:right="1537" w:hanging="709"/>
        <w:jc w:val="center"/>
        <w:rPr>
          <w:b/>
        </w:rPr>
      </w:pPr>
      <w:r w:rsidRPr="00EC42EC">
        <w:br w:type="page"/>
      </w:r>
      <w:r w:rsidR="00186B1A" w:rsidRPr="000B6125">
        <w:rPr>
          <w:b/>
        </w:rPr>
        <w:lastRenderedPageBreak/>
        <w:t>İÇİNDEKİLER</w:t>
      </w:r>
    </w:p>
    <w:p w14:paraId="2A1ABCE0" w14:textId="61FF067F" w:rsidR="00186B1A" w:rsidRPr="00186B1A" w:rsidRDefault="00186B1A" w:rsidP="00186B1A">
      <w:pPr>
        <w:numPr>
          <w:ilvl w:val="0"/>
          <w:numId w:val="34"/>
        </w:numPr>
        <w:spacing w:before="120"/>
        <w:ind w:left="709" w:right="185" w:hanging="709"/>
      </w:pPr>
      <w:r w:rsidRPr="00186B1A">
        <w:t>FON HAKKINDA GENEL BİLGİLER…………………………………………………..3</w:t>
      </w:r>
    </w:p>
    <w:p w14:paraId="5ECC97BE" w14:textId="6FE7B936" w:rsidR="00186B1A" w:rsidRPr="00186B1A" w:rsidRDefault="00186B1A" w:rsidP="00186B1A">
      <w:pPr>
        <w:numPr>
          <w:ilvl w:val="0"/>
          <w:numId w:val="34"/>
        </w:numPr>
        <w:spacing w:before="120"/>
        <w:ind w:left="709" w:right="185" w:hanging="709"/>
      </w:pPr>
      <w:r w:rsidRPr="00186B1A">
        <w:t>FON PORTFÖYÜNÜN YÖNETİMİ, YATIRIM STRATEJİSİ İLE FON PORTFÖY SINIRLAMALARI ………………………………………………………………………</w:t>
      </w:r>
      <w:r>
        <w:t>.</w:t>
      </w:r>
      <w:r w:rsidRPr="00186B1A">
        <w:t>4</w:t>
      </w:r>
    </w:p>
    <w:p w14:paraId="69E640F8" w14:textId="27B93405" w:rsidR="00186B1A" w:rsidRPr="00186B1A" w:rsidRDefault="00186B1A" w:rsidP="00186B1A">
      <w:pPr>
        <w:numPr>
          <w:ilvl w:val="0"/>
          <w:numId w:val="34"/>
        </w:numPr>
        <w:spacing w:before="120"/>
        <w:ind w:left="709" w:right="43" w:hanging="709"/>
      </w:pPr>
      <w:r w:rsidRPr="00186B1A">
        <w:t>TEMEL YATIRIM RİSKLERİ VE RİSKLERİN ÖLÇÜMÜ …………………………</w:t>
      </w:r>
      <w:r>
        <w:t>.</w:t>
      </w:r>
      <w:r w:rsidRPr="00186B1A">
        <w:t>...6</w:t>
      </w:r>
    </w:p>
    <w:p w14:paraId="415747FB" w14:textId="3DCE0D02" w:rsidR="00186B1A" w:rsidRPr="00186B1A" w:rsidRDefault="00186B1A" w:rsidP="00186B1A">
      <w:pPr>
        <w:numPr>
          <w:ilvl w:val="0"/>
          <w:numId w:val="34"/>
        </w:numPr>
        <w:spacing w:before="120"/>
        <w:ind w:left="709" w:hanging="709"/>
      </w:pPr>
      <w:r w:rsidRPr="00186B1A">
        <w:t>FON PORTFÖYÜNÜN SAKLANMASI VE FON MALVARLIĞININ AYRILIĞI</w:t>
      </w:r>
      <w:r>
        <w:t xml:space="preserve"> </w:t>
      </w:r>
      <w:r w:rsidRPr="00186B1A">
        <w:t>…...8</w:t>
      </w:r>
    </w:p>
    <w:p w14:paraId="4C713283" w14:textId="7A694015" w:rsidR="00186B1A" w:rsidRPr="00186B1A" w:rsidRDefault="00186B1A" w:rsidP="00186B1A">
      <w:pPr>
        <w:numPr>
          <w:ilvl w:val="0"/>
          <w:numId w:val="34"/>
        </w:numPr>
        <w:spacing w:before="120"/>
        <w:ind w:left="709" w:right="185" w:hanging="709"/>
      </w:pPr>
      <w:r w:rsidRPr="00186B1A">
        <w:t>FON BİRİM PAY DEĞERİNİN, FON TOPLAM DEĞERİNİN VE FON PORTFÖY DEĞERİNİN BELİRLENME ESASLARI …………………………………………</w:t>
      </w:r>
      <w:r>
        <w:t>…</w:t>
      </w:r>
      <w:r w:rsidRPr="00186B1A">
        <w:t>…</w:t>
      </w:r>
      <w:r>
        <w:t>.</w:t>
      </w:r>
      <w:r w:rsidRPr="00186B1A">
        <w:t>8</w:t>
      </w:r>
    </w:p>
    <w:p w14:paraId="2DABACA0" w14:textId="77F12D71" w:rsidR="00186B1A" w:rsidRPr="00186B1A" w:rsidRDefault="00186B1A" w:rsidP="00186B1A">
      <w:pPr>
        <w:numPr>
          <w:ilvl w:val="0"/>
          <w:numId w:val="34"/>
        </w:numPr>
        <w:spacing w:before="120"/>
        <w:ind w:left="709" w:hanging="709"/>
      </w:pPr>
      <w:r w:rsidRPr="00186B1A">
        <w:t>KATILMA PAYLARININ ALIM SATIM ESASLARI……………………………</w:t>
      </w:r>
      <w:r>
        <w:t>….</w:t>
      </w:r>
      <w:r w:rsidRPr="00186B1A">
        <w:t>....</w:t>
      </w:r>
      <w:r>
        <w:t>8</w:t>
      </w:r>
    </w:p>
    <w:p w14:paraId="2E0A3238" w14:textId="6BF20662" w:rsidR="00186B1A" w:rsidRPr="00186B1A" w:rsidRDefault="00186B1A" w:rsidP="00186B1A">
      <w:pPr>
        <w:numPr>
          <w:ilvl w:val="0"/>
          <w:numId w:val="34"/>
        </w:numPr>
        <w:spacing w:before="120"/>
        <w:ind w:left="709" w:right="185" w:hanging="709"/>
      </w:pPr>
      <w:r w:rsidRPr="00186B1A">
        <w:t>FON MALVARLIĞINDAN KARŞILANACAK HARCAMALAR VE KURUCU’NUN KARŞILADIĞI GİDERLER………………………………………</w:t>
      </w:r>
      <w:r>
        <w:t>………………...….</w:t>
      </w:r>
      <w:r w:rsidRPr="00186B1A">
        <w:t>.1</w:t>
      </w:r>
      <w:r>
        <w:t>0</w:t>
      </w:r>
    </w:p>
    <w:p w14:paraId="58355BBE" w14:textId="4E44BF40" w:rsidR="00186B1A" w:rsidRPr="00186B1A" w:rsidRDefault="00186B1A" w:rsidP="00186B1A">
      <w:pPr>
        <w:numPr>
          <w:ilvl w:val="0"/>
          <w:numId w:val="34"/>
        </w:numPr>
        <w:spacing w:before="120"/>
        <w:ind w:left="709" w:hanging="709"/>
      </w:pPr>
      <w:r w:rsidRPr="00186B1A">
        <w:t>FON’UN VERGİLENDİRİLMESİ ……………………………………………</w:t>
      </w:r>
      <w:r>
        <w:t>….</w:t>
      </w:r>
      <w:r w:rsidRPr="00186B1A">
        <w:t>……..1</w:t>
      </w:r>
      <w:r>
        <w:t>1</w:t>
      </w:r>
    </w:p>
    <w:p w14:paraId="120D7A38" w14:textId="6D9B3070" w:rsidR="00186B1A" w:rsidRPr="00186B1A" w:rsidRDefault="00186B1A" w:rsidP="00186B1A">
      <w:pPr>
        <w:numPr>
          <w:ilvl w:val="0"/>
          <w:numId w:val="34"/>
        </w:numPr>
        <w:spacing w:before="120"/>
        <w:ind w:left="709" w:hanging="709"/>
      </w:pPr>
      <w:r w:rsidRPr="00186B1A">
        <w:t>FONA İLİŞKİN KAMUYU AYDINLATMA ESASLARI………………………</w:t>
      </w:r>
      <w:r>
        <w:t>….</w:t>
      </w:r>
      <w:r w:rsidRPr="00186B1A">
        <w:t>…..1</w:t>
      </w:r>
      <w:r>
        <w:t>1</w:t>
      </w:r>
    </w:p>
    <w:p w14:paraId="2A1662EE" w14:textId="266EE2E0" w:rsidR="00186B1A" w:rsidRPr="00186B1A" w:rsidRDefault="00186B1A" w:rsidP="00186B1A">
      <w:pPr>
        <w:numPr>
          <w:ilvl w:val="0"/>
          <w:numId w:val="34"/>
        </w:numPr>
        <w:spacing w:before="120"/>
        <w:ind w:left="709" w:hanging="709"/>
      </w:pPr>
      <w:r w:rsidRPr="00186B1A">
        <w:t>FON’UN SONA ERMESİ VE FON VARLIĞININ TASFİYESİ ………………</w:t>
      </w:r>
      <w:r>
        <w:t>…</w:t>
      </w:r>
      <w:r w:rsidRPr="00186B1A">
        <w:t>...…</w:t>
      </w:r>
      <w:r>
        <w:t>.</w:t>
      </w:r>
      <w:r w:rsidRPr="00186B1A">
        <w:t>1</w:t>
      </w:r>
      <w:r>
        <w:t>2</w:t>
      </w:r>
    </w:p>
    <w:p w14:paraId="37DDFADC" w14:textId="1B106B1C" w:rsidR="00186B1A" w:rsidRPr="00186B1A" w:rsidRDefault="00186B1A" w:rsidP="00186B1A">
      <w:pPr>
        <w:numPr>
          <w:ilvl w:val="0"/>
          <w:numId w:val="34"/>
        </w:numPr>
        <w:spacing w:before="120"/>
        <w:ind w:left="709" w:hanging="709"/>
      </w:pPr>
      <w:r w:rsidRPr="00186B1A">
        <w:t>KATILMA PAYI SAHİPLERİNİN HAKLARI ……………………………………</w:t>
      </w:r>
      <w:r>
        <w:t>…..</w:t>
      </w:r>
      <w:r w:rsidRPr="00186B1A">
        <w:t>.1</w:t>
      </w:r>
      <w:r>
        <w:t>2</w:t>
      </w:r>
    </w:p>
    <w:p w14:paraId="59ED9ED0" w14:textId="66C4578F" w:rsidR="00186B1A" w:rsidRPr="00186B1A" w:rsidRDefault="00186B1A" w:rsidP="00186B1A">
      <w:pPr>
        <w:numPr>
          <w:ilvl w:val="0"/>
          <w:numId w:val="34"/>
        </w:numPr>
        <w:spacing w:before="120"/>
        <w:ind w:left="709" w:right="185" w:hanging="709"/>
        <w:rPr>
          <w:bCs/>
        </w:rPr>
      </w:pPr>
      <w:r w:rsidRPr="00186B1A">
        <w:t>FON PORTFÖYÜNÜN OLUŞTURULMASI VE KATILMA PAYLARININ SATIŞI …………………………………………………………………………………….…</w:t>
      </w:r>
      <w:r>
        <w:t>…..</w:t>
      </w:r>
      <w:r w:rsidRPr="00186B1A">
        <w:t>.13</w:t>
      </w:r>
    </w:p>
    <w:p w14:paraId="7DCF0595" w14:textId="0BF28A0D" w:rsidR="00B233A8" w:rsidRPr="00EC42EC" w:rsidRDefault="00B233A8" w:rsidP="00186B1A">
      <w:pPr>
        <w:jc w:val="center"/>
        <w:rPr>
          <w:b/>
        </w:rPr>
      </w:pPr>
      <w:r w:rsidRPr="00EC42EC">
        <w:rPr>
          <w:b/>
        </w:rPr>
        <w:t>KISALTMALAR</w:t>
      </w:r>
    </w:p>
    <w:p w14:paraId="0A160E7B" w14:textId="77777777" w:rsidR="00B233A8" w:rsidRPr="00EC42EC" w:rsidRDefault="00B233A8" w:rsidP="00B233A8">
      <w:pPr>
        <w:spacing w:before="120"/>
      </w:pPr>
    </w:p>
    <w:tbl>
      <w:tblPr>
        <w:tblStyle w:val="TableGrid"/>
        <w:tblW w:w="0" w:type="auto"/>
        <w:tblLook w:val="04A0" w:firstRow="1" w:lastRow="0" w:firstColumn="1" w:lastColumn="0" w:noHBand="0" w:noVBand="1"/>
      </w:tblPr>
      <w:tblGrid>
        <w:gridCol w:w="3114"/>
        <w:gridCol w:w="6417"/>
      </w:tblGrid>
      <w:tr w:rsidR="00B233A8" w:rsidRPr="00EC42EC" w14:paraId="0576A434" w14:textId="77777777" w:rsidTr="00B233A8">
        <w:tc>
          <w:tcPr>
            <w:tcW w:w="3114" w:type="dxa"/>
          </w:tcPr>
          <w:p w14:paraId="0B364726" w14:textId="4BA20C7D" w:rsidR="00B233A8" w:rsidRPr="00EC42EC" w:rsidRDefault="00B233A8" w:rsidP="00B233A8">
            <w:r w:rsidRPr="00EC42EC">
              <w:t>Bilgilendirme Dokümanları</w:t>
            </w:r>
          </w:p>
        </w:tc>
        <w:tc>
          <w:tcPr>
            <w:tcW w:w="6417" w:type="dxa"/>
          </w:tcPr>
          <w:p w14:paraId="3C5434B4" w14:textId="77777777" w:rsidR="00B233A8" w:rsidRPr="00EC42EC" w:rsidRDefault="00B233A8" w:rsidP="00B233A8">
            <w:r w:rsidRPr="00EC42EC">
              <w:t>Şemsiye fon içtüzüğü, fon izahnamesi ve yatırımcı bilgi formu</w:t>
            </w:r>
          </w:p>
        </w:tc>
      </w:tr>
      <w:tr w:rsidR="00B233A8" w:rsidRPr="00EC42EC" w14:paraId="348E5440" w14:textId="77777777" w:rsidTr="00B233A8">
        <w:tc>
          <w:tcPr>
            <w:tcW w:w="3114" w:type="dxa"/>
          </w:tcPr>
          <w:p w14:paraId="338604F5" w14:textId="77777777" w:rsidR="00B233A8" w:rsidRPr="00EC42EC" w:rsidRDefault="00B233A8" w:rsidP="00B233A8">
            <w:r w:rsidRPr="00EC42EC">
              <w:t>BIST</w:t>
            </w:r>
          </w:p>
        </w:tc>
        <w:tc>
          <w:tcPr>
            <w:tcW w:w="6417" w:type="dxa"/>
          </w:tcPr>
          <w:p w14:paraId="3778E8F8" w14:textId="77777777" w:rsidR="00B233A8" w:rsidRPr="00EC42EC" w:rsidRDefault="00B233A8" w:rsidP="00B233A8">
            <w:r w:rsidRPr="00EC42EC">
              <w:t>Borsa İstanbul A.Ş.</w:t>
            </w:r>
          </w:p>
        </w:tc>
      </w:tr>
      <w:tr w:rsidR="00B233A8" w:rsidRPr="00EC42EC" w14:paraId="405B35C7" w14:textId="77777777" w:rsidTr="00B233A8">
        <w:tc>
          <w:tcPr>
            <w:tcW w:w="3114" w:type="dxa"/>
          </w:tcPr>
          <w:p w14:paraId="5342F324" w14:textId="77777777" w:rsidR="00B233A8" w:rsidRPr="00EC42EC" w:rsidRDefault="00B233A8" w:rsidP="00B233A8">
            <w:r w:rsidRPr="00EC42EC">
              <w:t>Finansal Raporlama Tebliği</w:t>
            </w:r>
          </w:p>
        </w:tc>
        <w:tc>
          <w:tcPr>
            <w:tcW w:w="6417" w:type="dxa"/>
          </w:tcPr>
          <w:p w14:paraId="4A768864" w14:textId="77777777" w:rsidR="00B233A8" w:rsidRPr="00EC42EC" w:rsidRDefault="00B233A8" w:rsidP="00B233A8">
            <w:r w:rsidRPr="00EC42EC">
              <w:t>II-14.2 sayılı Yatırım Fonlarının Finansal Raporlama Esaslarına İlişkin Tebliğ</w:t>
            </w:r>
          </w:p>
        </w:tc>
      </w:tr>
      <w:tr w:rsidR="00B233A8" w:rsidRPr="00EC42EC" w14:paraId="3094F3BB" w14:textId="77777777" w:rsidTr="00B233A8">
        <w:tc>
          <w:tcPr>
            <w:tcW w:w="3114" w:type="dxa"/>
          </w:tcPr>
          <w:p w14:paraId="062AD7C8" w14:textId="77777777" w:rsidR="00B233A8" w:rsidRPr="00EC42EC" w:rsidRDefault="00B233A8" w:rsidP="00B233A8">
            <w:r w:rsidRPr="00EC42EC">
              <w:t>Fon</w:t>
            </w:r>
          </w:p>
        </w:tc>
        <w:tc>
          <w:tcPr>
            <w:tcW w:w="6417" w:type="dxa"/>
          </w:tcPr>
          <w:p w14:paraId="34A4C7E2" w14:textId="788ABE60" w:rsidR="00B233A8" w:rsidRPr="00EC42EC" w:rsidRDefault="00B233A8" w:rsidP="00D74A10">
            <w:pPr>
              <w:rPr>
                <w:vertAlign w:val="superscript"/>
              </w:rPr>
            </w:pPr>
            <w:r>
              <w:t xml:space="preserve">Hedef Portföy </w:t>
            </w:r>
            <w:r w:rsidR="00D74A10">
              <w:t xml:space="preserve">Birinci </w:t>
            </w:r>
            <w:r>
              <w:t>Hisse Senedi</w:t>
            </w:r>
            <w:r w:rsidR="00B227E7">
              <w:t xml:space="preserve"> (TL)</w:t>
            </w:r>
            <w:r w:rsidRPr="00EC42EC">
              <w:t xml:space="preserve"> Fonu</w:t>
            </w:r>
            <w:r>
              <w:t xml:space="preserve"> (Hisse Senedi Yoğun Fon)</w:t>
            </w:r>
          </w:p>
        </w:tc>
      </w:tr>
      <w:tr w:rsidR="00B233A8" w:rsidRPr="00EC42EC" w14:paraId="4E81F925" w14:textId="77777777" w:rsidTr="00B233A8">
        <w:tc>
          <w:tcPr>
            <w:tcW w:w="3114" w:type="dxa"/>
          </w:tcPr>
          <w:p w14:paraId="5D572379" w14:textId="77777777" w:rsidR="00B233A8" w:rsidRPr="00EC42EC" w:rsidRDefault="00B233A8" w:rsidP="00B233A8">
            <w:r w:rsidRPr="00EC42EC">
              <w:t>Şemsiye Fon</w:t>
            </w:r>
          </w:p>
        </w:tc>
        <w:tc>
          <w:tcPr>
            <w:tcW w:w="6417" w:type="dxa"/>
          </w:tcPr>
          <w:p w14:paraId="72F8D14A" w14:textId="77777777" w:rsidR="00B233A8" w:rsidRPr="00EC42EC" w:rsidRDefault="00B233A8" w:rsidP="00B233A8">
            <w:r>
              <w:t xml:space="preserve">Hedef Portföy Yönetimi A.Ş. Hisse Senedi </w:t>
            </w:r>
            <w:r w:rsidRPr="00EC42EC">
              <w:t>Şemsiye Fonu</w:t>
            </w:r>
          </w:p>
        </w:tc>
      </w:tr>
      <w:tr w:rsidR="00B233A8" w:rsidRPr="00EC42EC" w14:paraId="64CB2C51" w14:textId="77777777" w:rsidTr="00B233A8">
        <w:tc>
          <w:tcPr>
            <w:tcW w:w="3114" w:type="dxa"/>
          </w:tcPr>
          <w:p w14:paraId="6B3FE49E" w14:textId="77777777" w:rsidR="00B233A8" w:rsidRPr="00EC42EC" w:rsidRDefault="00B233A8" w:rsidP="00B233A8">
            <w:r w:rsidRPr="00EC42EC">
              <w:t>Kanun</w:t>
            </w:r>
          </w:p>
        </w:tc>
        <w:tc>
          <w:tcPr>
            <w:tcW w:w="6417" w:type="dxa"/>
          </w:tcPr>
          <w:p w14:paraId="0D327BFC" w14:textId="77777777" w:rsidR="00B233A8" w:rsidRPr="00EC42EC" w:rsidRDefault="00B233A8" w:rsidP="00B233A8">
            <w:r w:rsidRPr="00EC42EC">
              <w:t>6362 sayılı Sermaye Piyasası Kanunu</w:t>
            </w:r>
          </w:p>
        </w:tc>
      </w:tr>
      <w:tr w:rsidR="00B233A8" w:rsidRPr="00EC42EC" w14:paraId="37D5FAC0" w14:textId="77777777" w:rsidTr="00B233A8">
        <w:tc>
          <w:tcPr>
            <w:tcW w:w="3114" w:type="dxa"/>
          </w:tcPr>
          <w:p w14:paraId="616FFAFD" w14:textId="77777777" w:rsidR="00B233A8" w:rsidRPr="00EC42EC" w:rsidRDefault="00B233A8" w:rsidP="00B233A8">
            <w:r w:rsidRPr="00EC42EC">
              <w:t>KAP</w:t>
            </w:r>
          </w:p>
        </w:tc>
        <w:tc>
          <w:tcPr>
            <w:tcW w:w="6417" w:type="dxa"/>
          </w:tcPr>
          <w:p w14:paraId="1FFC9467" w14:textId="77777777" w:rsidR="00B233A8" w:rsidRPr="00EC42EC" w:rsidRDefault="00B233A8" w:rsidP="00B233A8">
            <w:r w:rsidRPr="00EC42EC">
              <w:t>Kamuyu Aydınlatma Platformu</w:t>
            </w:r>
          </w:p>
        </w:tc>
      </w:tr>
      <w:tr w:rsidR="00B233A8" w:rsidRPr="00EC42EC" w14:paraId="7E7BABCD" w14:textId="77777777" w:rsidTr="00B233A8">
        <w:tc>
          <w:tcPr>
            <w:tcW w:w="3114" w:type="dxa"/>
          </w:tcPr>
          <w:p w14:paraId="27016E98" w14:textId="77777777" w:rsidR="00B233A8" w:rsidRPr="00EC42EC" w:rsidRDefault="00B233A8" w:rsidP="00B233A8">
            <w:r w:rsidRPr="00EC42EC">
              <w:t>Kurucu</w:t>
            </w:r>
          </w:p>
        </w:tc>
        <w:tc>
          <w:tcPr>
            <w:tcW w:w="6417" w:type="dxa"/>
          </w:tcPr>
          <w:p w14:paraId="7CFC84B2" w14:textId="77777777" w:rsidR="00B233A8" w:rsidRPr="00EC42EC" w:rsidRDefault="00B233A8" w:rsidP="00B233A8">
            <w:r>
              <w:t>Hedef</w:t>
            </w:r>
            <w:r w:rsidRPr="00EC42EC">
              <w:t xml:space="preserve"> Portföy Yönetimi A.Ş.</w:t>
            </w:r>
          </w:p>
        </w:tc>
      </w:tr>
      <w:tr w:rsidR="00B233A8" w:rsidRPr="00EC42EC" w14:paraId="330DD74D" w14:textId="77777777" w:rsidTr="00B233A8">
        <w:tc>
          <w:tcPr>
            <w:tcW w:w="3114" w:type="dxa"/>
          </w:tcPr>
          <w:p w14:paraId="697AE383" w14:textId="77777777" w:rsidR="00B233A8" w:rsidRPr="00EC42EC" w:rsidRDefault="00B233A8" w:rsidP="00B233A8">
            <w:r w:rsidRPr="00EC42EC">
              <w:t>Kurul</w:t>
            </w:r>
          </w:p>
        </w:tc>
        <w:tc>
          <w:tcPr>
            <w:tcW w:w="6417" w:type="dxa"/>
          </w:tcPr>
          <w:p w14:paraId="2A77052A" w14:textId="77777777" w:rsidR="00B233A8" w:rsidRPr="00EC42EC" w:rsidRDefault="00B233A8" w:rsidP="00B233A8">
            <w:r w:rsidRPr="00EC42EC">
              <w:t>Sermaye Piyasası Kurulu</w:t>
            </w:r>
          </w:p>
        </w:tc>
      </w:tr>
      <w:tr w:rsidR="00B233A8" w:rsidRPr="00EC42EC" w14:paraId="74CCCEC0" w14:textId="77777777" w:rsidTr="00B233A8">
        <w:tc>
          <w:tcPr>
            <w:tcW w:w="3114" w:type="dxa"/>
          </w:tcPr>
          <w:p w14:paraId="350983E8" w14:textId="77777777" w:rsidR="00B233A8" w:rsidRPr="00EC42EC" w:rsidRDefault="00B233A8" w:rsidP="00B233A8">
            <w:r w:rsidRPr="00EC42EC">
              <w:t>MKK</w:t>
            </w:r>
          </w:p>
        </w:tc>
        <w:tc>
          <w:tcPr>
            <w:tcW w:w="6417" w:type="dxa"/>
          </w:tcPr>
          <w:p w14:paraId="49163A71" w14:textId="77777777" w:rsidR="00B233A8" w:rsidRPr="00EC42EC" w:rsidRDefault="00B233A8" w:rsidP="00B233A8">
            <w:r w:rsidRPr="00EC42EC">
              <w:t>Merkezi Kayıt Kuruluşu A.Ş.</w:t>
            </w:r>
          </w:p>
        </w:tc>
      </w:tr>
      <w:tr w:rsidR="00B233A8" w:rsidRPr="00EC42EC" w14:paraId="2CD0E148" w14:textId="77777777" w:rsidTr="00B233A8">
        <w:tc>
          <w:tcPr>
            <w:tcW w:w="3114" w:type="dxa"/>
          </w:tcPr>
          <w:p w14:paraId="70248373" w14:textId="77777777" w:rsidR="00B233A8" w:rsidRPr="00EC42EC" w:rsidRDefault="00B233A8" w:rsidP="00B233A8">
            <w:r w:rsidRPr="00EC42EC">
              <w:t>Portföy Saklayıcısı</w:t>
            </w:r>
          </w:p>
        </w:tc>
        <w:tc>
          <w:tcPr>
            <w:tcW w:w="6417" w:type="dxa"/>
          </w:tcPr>
          <w:p w14:paraId="43D3BB9A" w14:textId="77777777" w:rsidR="00B233A8" w:rsidRPr="00EC42EC" w:rsidRDefault="00B233A8" w:rsidP="00B233A8">
            <w:r>
              <w:t>Denizbank</w:t>
            </w:r>
            <w:r w:rsidRPr="00EC42EC">
              <w:t xml:space="preserve"> A.Ş.</w:t>
            </w:r>
          </w:p>
        </w:tc>
      </w:tr>
      <w:tr w:rsidR="00B233A8" w:rsidRPr="00EC42EC" w14:paraId="0E4C5FB2" w14:textId="77777777" w:rsidTr="00B233A8">
        <w:tc>
          <w:tcPr>
            <w:tcW w:w="3114" w:type="dxa"/>
          </w:tcPr>
          <w:p w14:paraId="645F54EE" w14:textId="77777777" w:rsidR="00B233A8" w:rsidRPr="00EC42EC" w:rsidRDefault="00B233A8" w:rsidP="00B233A8">
            <w:r w:rsidRPr="00EC42EC">
              <w:t>PYŞ Tebliği</w:t>
            </w:r>
          </w:p>
        </w:tc>
        <w:tc>
          <w:tcPr>
            <w:tcW w:w="6417" w:type="dxa"/>
          </w:tcPr>
          <w:p w14:paraId="384A1D21" w14:textId="77777777" w:rsidR="00B233A8" w:rsidRPr="00EC42EC" w:rsidRDefault="00B233A8" w:rsidP="00B233A8">
            <w:r w:rsidRPr="00EC42EC">
              <w:t>III-55.1 sayılı Portföy Yönetim Şirketleri ve Bu Şirketlerin Faaliyetlerine İlişkin Esaslar Tebliği</w:t>
            </w:r>
          </w:p>
        </w:tc>
      </w:tr>
      <w:tr w:rsidR="00B233A8" w:rsidRPr="00EC42EC" w14:paraId="78E5F124" w14:textId="77777777" w:rsidTr="00B233A8">
        <w:tc>
          <w:tcPr>
            <w:tcW w:w="3114" w:type="dxa"/>
          </w:tcPr>
          <w:p w14:paraId="22FFE7F0" w14:textId="77777777" w:rsidR="00B233A8" w:rsidRPr="00EC42EC" w:rsidRDefault="00B233A8" w:rsidP="00B233A8">
            <w:r>
              <w:t>Rehber</w:t>
            </w:r>
          </w:p>
        </w:tc>
        <w:tc>
          <w:tcPr>
            <w:tcW w:w="6417" w:type="dxa"/>
          </w:tcPr>
          <w:p w14:paraId="4E71A579" w14:textId="77777777" w:rsidR="00B233A8" w:rsidRPr="00EC42EC" w:rsidRDefault="00B233A8" w:rsidP="00B233A8">
            <w:r>
              <w:t>Yatırım Fonlarına İlişkin Rehber</w:t>
            </w:r>
          </w:p>
        </w:tc>
      </w:tr>
      <w:tr w:rsidR="00B233A8" w:rsidRPr="00EC42EC" w14:paraId="4F186758" w14:textId="77777777" w:rsidTr="00B233A8">
        <w:tc>
          <w:tcPr>
            <w:tcW w:w="3114" w:type="dxa"/>
          </w:tcPr>
          <w:p w14:paraId="2860D848" w14:textId="77777777" w:rsidR="00B233A8" w:rsidRPr="00EC42EC" w:rsidRDefault="00B233A8" w:rsidP="00B233A8">
            <w:r w:rsidRPr="00EC42EC">
              <w:t>Saklama Tebliği</w:t>
            </w:r>
          </w:p>
        </w:tc>
        <w:tc>
          <w:tcPr>
            <w:tcW w:w="6417" w:type="dxa"/>
          </w:tcPr>
          <w:p w14:paraId="265612B5" w14:textId="77777777" w:rsidR="00B233A8" w:rsidRPr="00EC42EC" w:rsidRDefault="00B233A8" w:rsidP="00B233A8">
            <w:r w:rsidRPr="00EC42EC">
              <w:t>III-56.1 sayılı Portföy Saklama Hizmetine ve Bu Hizmette Bulunacak Kuruluşlara İlişkin Esaslar Tebliği</w:t>
            </w:r>
          </w:p>
        </w:tc>
      </w:tr>
      <w:tr w:rsidR="00B233A8" w:rsidRPr="00EC42EC" w14:paraId="435C7120" w14:textId="77777777" w:rsidTr="00B233A8">
        <w:tc>
          <w:tcPr>
            <w:tcW w:w="3114" w:type="dxa"/>
          </w:tcPr>
          <w:p w14:paraId="764180A5" w14:textId="77777777" w:rsidR="00B233A8" w:rsidRPr="00EC42EC" w:rsidRDefault="00B233A8" w:rsidP="00B233A8">
            <w:r w:rsidRPr="00EC42EC">
              <w:t>Takasbank</w:t>
            </w:r>
          </w:p>
        </w:tc>
        <w:tc>
          <w:tcPr>
            <w:tcW w:w="6417" w:type="dxa"/>
          </w:tcPr>
          <w:p w14:paraId="49F12670" w14:textId="77777777" w:rsidR="00B233A8" w:rsidRPr="00EC42EC" w:rsidRDefault="00B233A8" w:rsidP="00B233A8">
            <w:r w:rsidRPr="00EC42EC">
              <w:t>İstanbul Takas ve Saklama Bankası A.Ş.</w:t>
            </w:r>
          </w:p>
        </w:tc>
      </w:tr>
      <w:tr w:rsidR="00B233A8" w:rsidRPr="00EC42EC" w14:paraId="0C8C67DD" w14:textId="77777777" w:rsidTr="00B233A8">
        <w:tc>
          <w:tcPr>
            <w:tcW w:w="3114" w:type="dxa"/>
          </w:tcPr>
          <w:p w14:paraId="4C6CBBAE" w14:textId="77777777" w:rsidR="00B233A8" w:rsidRPr="00EC42EC" w:rsidRDefault="00B233A8" w:rsidP="00B233A8">
            <w:r w:rsidRPr="00EC42EC">
              <w:t>Tebliğ</w:t>
            </w:r>
          </w:p>
        </w:tc>
        <w:tc>
          <w:tcPr>
            <w:tcW w:w="6417" w:type="dxa"/>
          </w:tcPr>
          <w:p w14:paraId="0268E100" w14:textId="77777777" w:rsidR="00B233A8" w:rsidRPr="00EC42EC" w:rsidRDefault="00B233A8" w:rsidP="00B233A8">
            <w:r w:rsidRPr="00EC42EC">
              <w:t>III-52.1 sayılı Yatırım Fonlarına İlişkin Esaslar Tebliği</w:t>
            </w:r>
          </w:p>
        </w:tc>
      </w:tr>
      <w:tr w:rsidR="00B233A8" w:rsidRPr="00EC42EC" w14:paraId="4182D2FB" w14:textId="77777777" w:rsidTr="00B233A8">
        <w:tc>
          <w:tcPr>
            <w:tcW w:w="3114" w:type="dxa"/>
          </w:tcPr>
          <w:p w14:paraId="017938DF" w14:textId="77777777" w:rsidR="00B233A8" w:rsidRPr="00EC42EC" w:rsidRDefault="00B233A8" w:rsidP="00B233A8">
            <w:r>
              <w:t>TEFAS</w:t>
            </w:r>
          </w:p>
        </w:tc>
        <w:tc>
          <w:tcPr>
            <w:tcW w:w="6417" w:type="dxa"/>
          </w:tcPr>
          <w:p w14:paraId="2287743B" w14:textId="77777777" w:rsidR="00B233A8" w:rsidRPr="00EC42EC" w:rsidRDefault="00B233A8" w:rsidP="00B233A8">
            <w:r w:rsidRPr="00EC42EC">
              <w:t xml:space="preserve">Türkiye Elektronik Fon </w:t>
            </w:r>
            <w:r>
              <w:t xml:space="preserve">Alım Satım </w:t>
            </w:r>
            <w:r w:rsidRPr="00EC42EC">
              <w:t>Platformu</w:t>
            </w:r>
          </w:p>
        </w:tc>
      </w:tr>
      <w:tr w:rsidR="00B233A8" w:rsidRPr="00EC42EC" w14:paraId="1D0AD947" w14:textId="77777777" w:rsidTr="00B233A8">
        <w:tc>
          <w:tcPr>
            <w:tcW w:w="3114" w:type="dxa"/>
          </w:tcPr>
          <w:p w14:paraId="52E4B392" w14:textId="77777777" w:rsidR="00B233A8" w:rsidRPr="00EC42EC" w:rsidRDefault="00B233A8" w:rsidP="00B233A8">
            <w:r w:rsidRPr="00EC42EC">
              <w:t>TMS/TFRS</w:t>
            </w:r>
          </w:p>
        </w:tc>
        <w:tc>
          <w:tcPr>
            <w:tcW w:w="6417" w:type="dxa"/>
          </w:tcPr>
          <w:p w14:paraId="2AC9DC08" w14:textId="77777777" w:rsidR="00B233A8" w:rsidRPr="00EC42EC" w:rsidRDefault="00B233A8" w:rsidP="00B233A8">
            <w:r w:rsidRPr="00EC42EC">
              <w:t>Kamu Gözetimi, Muhasebe ve Denetim Standartları Kurumu tarafından yürürlüğe konulmuş olan Türkiye Muhasebe Standartları/Türkiye Finansal Raporlama Standartları ile bunlara ilişkin ek ve yorumlar</w:t>
            </w:r>
          </w:p>
        </w:tc>
      </w:tr>
      <w:tr w:rsidR="00B233A8" w:rsidRPr="00EC42EC" w14:paraId="09F2BA2C" w14:textId="77777777" w:rsidTr="00B233A8">
        <w:tc>
          <w:tcPr>
            <w:tcW w:w="3114" w:type="dxa"/>
          </w:tcPr>
          <w:p w14:paraId="443E3F60" w14:textId="77777777" w:rsidR="00B233A8" w:rsidRPr="00EC42EC" w:rsidRDefault="00B233A8" w:rsidP="00B233A8">
            <w:r w:rsidRPr="00EC42EC">
              <w:t>Yönetici</w:t>
            </w:r>
          </w:p>
        </w:tc>
        <w:tc>
          <w:tcPr>
            <w:tcW w:w="6417" w:type="dxa"/>
          </w:tcPr>
          <w:p w14:paraId="231223C3" w14:textId="77777777" w:rsidR="00B233A8" w:rsidRPr="00EC42EC" w:rsidRDefault="00B233A8" w:rsidP="00B233A8">
            <w:r>
              <w:t xml:space="preserve">Hedef </w:t>
            </w:r>
            <w:r w:rsidRPr="00EC42EC">
              <w:t>Portföy Yönetimi A.Ş.</w:t>
            </w:r>
          </w:p>
        </w:tc>
      </w:tr>
    </w:tbl>
    <w:p w14:paraId="183CBD20" w14:textId="77777777" w:rsidR="00B233A8" w:rsidRPr="00EC42EC" w:rsidRDefault="00B233A8" w:rsidP="00B233A8">
      <w:pPr>
        <w:pStyle w:val="Heading2"/>
        <w:numPr>
          <w:ilvl w:val="0"/>
          <w:numId w:val="19"/>
        </w:numPr>
        <w:tabs>
          <w:tab w:val="left" w:pos="993"/>
        </w:tabs>
        <w:ind w:left="0" w:firstLine="709"/>
        <w:rPr>
          <w:rFonts w:cs="Times New Roman"/>
          <w:sz w:val="24"/>
          <w:szCs w:val="24"/>
        </w:rPr>
      </w:pPr>
      <w:r w:rsidRPr="00EC42EC">
        <w:rPr>
          <w:rFonts w:cs="Times New Roman"/>
          <w:sz w:val="24"/>
          <w:szCs w:val="24"/>
        </w:rPr>
        <w:lastRenderedPageBreak/>
        <w:t xml:space="preserve">FON HAKKINDA GENEL BİLGİLER </w:t>
      </w:r>
    </w:p>
    <w:p w14:paraId="6F61D25E" w14:textId="77777777" w:rsidR="00B233A8" w:rsidRPr="00EC42EC" w:rsidRDefault="00B233A8" w:rsidP="00A514AB">
      <w:pPr>
        <w:tabs>
          <w:tab w:val="left" w:pos="426"/>
        </w:tabs>
        <w:contextualSpacing/>
      </w:pPr>
    </w:p>
    <w:p w14:paraId="5204BA57" w14:textId="14D1739D" w:rsidR="00B233A8" w:rsidRPr="00EC42EC" w:rsidRDefault="00B233A8">
      <w:pPr>
        <w:pStyle w:val="ListParagraph"/>
        <w:tabs>
          <w:tab w:val="left" w:pos="426"/>
        </w:tabs>
        <w:ind w:left="0" w:firstLine="709"/>
        <w:contextualSpacing/>
      </w:pPr>
      <w:r w:rsidRPr="00EC42EC">
        <w:t>Fon, Kanun hükümleri uyarınca tasarruf sahiplerinden fon katılma payı karşılığında toplanan nakitle,</w:t>
      </w:r>
      <w:r>
        <w:t xml:space="preserve"> </w:t>
      </w:r>
      <w:r w:rsidRPr="00EC42EC">
        <w:t xml:space="preserve">tasarruf sahipleri hesabına, inançlı mülkiyet esaslarına göre işbu izahnamenin II.  </w:t>
      </w:r>
      <w:r w:rsidR="00E01374" w:rsidRPr="00EC42EC">
        <w:t>Bölümünde</w:t>
      </w:r>
      <w:r w:rsidRPr="00EC42EC">
        <w:t xml:space="preserve"> belirlenen varlık ve haklardan oluşan portföyü işletmek amacıyla kurulan, katılma payları Şemsiye Fon’a bağlı olarak ihraç edilen ve tüzel kişiliği bulunmayan mal varlığıdır.</w:t>
      </w:r>
    </w:p>
    <w:p w14:paraId="1A6D7778" w14:textId="77777777" w:rsidR="00B233A8" w:rsidRPr="00EC42EC" w:rsidRDefault="00B233A8" w:rsidP="00B233A8">
      <w:pPr>
        <w:pStyle w:val="ListParagraph"/>
        <w:tabs>
          <w:tab w:val="left" w:pos="426"/>
        </w:tabs>
        <w:ind w:left="0" w:firstLine="709"/>
        <w:contextualSpacing/>
      </w:pPr>
    </w:p>
    <w:p w14:paraId="748D0497" w14:textId="78602282" w:rsidR="00B233A8" w:rsidRPr="00EC42EC" w:rsidRDefault="00B233A8" w:rsidP="00B233A8">
      <w:pPr>
        <w:pStyle w:val="ListParagraph"/>
        <w:tabs>
          <w:tab w:val="left" w:pos="426"/>
        </w:tabs>
        <w:ind w:left="0" w:firstLine="709"/>
        <w:contextualSpacing/>
        <w:rPr>
          <w:b/>
        </w:rPr>
      </w:pPr>
      <w:r w:rsidRPr="00EC42EC">
        <w:rPr>
          <w:b/>
        </w:rPr>
        <w:t>1.1. Fona İlişkin Genel Bilgiler</w:t>
      </w:r>
    </w:p>
    <w:p w14:paraId="60F6186E" w14:textId="77777777" w:rsidR="00B233A8" w:rsidRPr="00EC42EC" w:rsidRDefault="00B233A8" w:rsidP="00B233A8">
      <w:pPr>
        <w:pStyle w:val="ListParagraph"/>
        <w:tabs>
          <w:tab w:val="left" w:pos="426"/>
        </w:tabs>
        <w:ind w:left="0" w:firstLine="709"/>
        <w:contextualSpacing/>
        <w:rPr>
          <w:b/>
        </w:rPr>
      </w:pPr>
    </w:p>
    <w:tbl>
      <w:tblPr>
        <w:tblStyle w:val="TableGrid"/>
        <w:tblW w:w="0" w:type="auto"/>
        <w:tblInd w:w="137" w:type="dxa"/>
        <w:tblLook w:val="04A0" w:firstRow="1" w:lastRow="0" w:firstColumn="1" w:lastColumn="0" w:noHBand="0" w:noVBand="1"/>
      </w:tblPr>
      <w:tblGrid>
        <w:gridCol w:w="3969"/>
        <w:gridCol w:w="5384"/>
      </w:tblGrid>
      <w:tr w:rsidR="00B233A8" w:rsidRPr="00EC42EC" w14:paraId="0828C5BC" w14:textId="77777777" w:rsidTr="00B233A8">
        <w:trPr>
          <w:trHeight w:val="324"/>
        </w:trPr>
        <w:tc>
          <w:tcPr>
            <w:tcW w:w="9353" w:type="dxa"/>
            <w:gridSpan w:val="2"/>
          </w:tcPr>
          <w:p w14:paraId="5C140C4D" w14:textId="77777777" w:rsidR="00B233A8" w:rsidRPr="00EC42EC" w:rsidRDefault="00B233A8" w:rsidP="00B233A8">
            <w:pPr>
              <w:rPr>
                <w:b/>
                <w:i/>
              </w:rPr>
            </w:pPr>
            <w:r w:rsidRPr="00EC42EC">
              <w:rPr>
                <w:b/>
                <w:i/>
              </w:rPr>
              <w:t xml:space="preserve">Fon’un </w:t>
            </w:r>
          </w:p>
        </w:tc>
      </w:tr>
      <w:tr w:rsidR="00B233A8" w:rsidRPr="00EC42EC" w14:paraId="31D03AAF" w14:textId="77777777" w:rsidTr="00B233A8">
        <w:trPr>
          <w:trHeight w:val="252"/>
        </w:trPr>
        <w:tc>
          <w:tcPr>
            <w:tcW w:w="3969" w:type="dxa"/>
          </w:tcPr>
          <w:p w14:paraId="1F367605" w14:textId="77777777" w:rsidR="00B233A8" w:rsidRPr="00EC42EC" w:rsidRDefault="00B233A8" w:rsidP="00B233A8">
            <w:r>
              <w:t>Unvanı:</w:t>
            </w:r>
          </w:p>
        </w:tc>
        <w:tc>
          <w:tcPr>
            <w:tcW w:w="5384" w:type="dxa"/>
          </w:tcPr>
          <w:p w14:paraId="075A648D" w14:textId="71247CB9" w:rsidR="00B233A8" w:rsidRPr="00EC42EC" w:rsidRDefault="00B233A8" w:rsidP="00D74A10">
            <w:pPr>
              <w:rPr>
                <w:b/>
              </w:rPr>
            </w:pPr>
            <w:r>
              <w:rPr>
                <w:b/>
              </w:rPr>
              <w:t xml:space="preserve">Hedef Portföy </w:t>
            </w:r>
            <w:r w:rsidR="00D74A10">
              <w:rPr>
                <w:b/>
              </w:rPr>
              <w:t xml:space="preserve">Birinci </w:t>
            </w:r>
            <w:r>
              <w:rPr>
                <w:b/>
              </w:rPr>
              <w:t xml:space="preserve">Hisse Senedi </w:t>
            </w:r>
            <w:r w:rsidR="00B227E7">
              <w:rPr>
                <w:b/>
              </w:rPr>
              <w:t xml:space="preserve">(TL) </w:t>
            </w:r>
            <w:r>
              <w:rPr>
                <w:b/>
              </w:rPr>
              <w:t>Fonu (Hisse Senedi Yoğun Fon)</w:t>
            </w:r>
          </w:p>
        </w:tc>
      </w:tr>
      <w:tr w:rsidR="00B233A8" w:rsidRPr="00EC42EC" w14:paraId="761E0FC2" w14:textId="77777777" w:rsidTr="00B233A8">
        <w:trPr>
          <w:trHeight w:val="252"/>
        </w:trPr>
        <w:tc>
          <w:tcPr>
            <w:tcW w:w="3969" w:type="dxa"/>
          </w:tcPr>
          <w:p w14:paraId="1C680DAA" w14:textId="77777777" w:rsidR="00B233A8" w:rsidRPr="00EC42EC" w:rsidRDefault="00B233A8" w:rsidP="00B233A8">
            <w:r w:rsidRPr="00EC42EC">
              <w:t>Bağlı Olduğu Şemsiye Fonun Unvanı:</w:t>
            </w:r>
          </w:p>
        </w:tc>
        <w:tc>
          <w:tcPr>
            <w:tcW w:w="5384" w:type="dxa"/>
          </w:tcPr>
          <w:p w14:paraId="5EE0EE2D" w14:textId="77777777" w:rsidR="00B233A8" w:rsidRPr="00CC39AC" w:rsidRDefault="00B233A8" w:rsidP="00B233A8">
            <w:pPr>
              <w:rPr>
                <w:b/>
              </w:rPr>
            </w:pPr>
            <w:r w:rsidRPr="00CC39AC">
              <w:rPr>
                <w:b/>
              </w:rPr>
              <w:t>Hedef Portföy Yönetimi A.Ş. Hisse Senedi Şemsiye Fonu</w:t>
            </w:r>
          </w:p>
        </w:tc>
      </w:tr>
      <w:tr w:rsidR="00B233A8" w:rsidRPr="00EC42EC" w14:paraId="56AE76BE" w14:textId="77777777" w:rsidTr="00B233A8">
        <w:trPr>
          <w:trHeight w:val="252"/>
        </w:trPr>
        <w:tc>
          <w:tcPr>
            <w:tcW w:w="3969" w:type="dxa"/>
          </w:tcPr>
          <w:p w14:paraId="7A4F7664" w14:textId="77777777" w:rsidR="00B233A8" w:rsidRPr="00EC42EC" w:rsidRDefault="00B233A8" w:rsidP="00B233A8">
            <w:r w:rsidRPr="00EC42EC">
              <w:t>Bağlı Olduğu Şemsiye Fonun Türü:</w:t>
            </w:r>
          </w:p>
        </w:tc>
        <w:tc>
          <w:tcPr>
            <w:tcW w:w="5384" w:type="dxa"/>
          </w:tcPr>
          <w:p w14:paraId="557DD057" w14:textId="77777777" w:rsidR="00B233A8" w:rsidRPr="00EC42EC" w:rsidRDefault="00B233A8" w:rsidP="00B233A8">
            <w:pPr>
              <w:rPr>
                <w:b/>
              </w:rPr>
            </w:pPr>
            <w:r>
              <w:rPr>
                <w:b/>
              </w:rPr>
              <w:t>Hisse Senedi Şemsiye Fonu</w:t>
            </w:r>
          </w:p>
        </w:tc>
      </w:tr>
      <w:tr w:rsidR="00B233A8" w:rsidRPr="00EC42EC" w14:paraId="61DA55D2" w14:textId="77777777" w:rsidTr="00B233A8">
        <w:trPr>
          <w:trHeight w:val="252"/>
        </w:trPr>
        <w:tc>
          <w:tcPr>
            <w:tcW w:w="3969" w:type="dxa"/>
          </w:tcPr>
          <w:p w14:paraId="7E0E2864" w14:textId="77777777" w:rsidR="00B233A8" w:rsidRPr="00EC42EC" w:rsidRDefault="00B233A8" w:rsidP="00B233A8">
            <w:r w:rsidRPr="00EC42EC">
              <w:t>Süresi:</w:t>
            </w:r>
          </w:p>
        </w:tc>
        <w:tc>
          <w:tcPr>
            <w:tcW w:w="5384" w:type="dxa"/>
          </w:tcPr>
          <w:p w14:paraId="00308E93" w14:textId="77777777" w:rsidR="00B233A8" w:rsidRPr="00EC42EC" w:rsidRDefault="00B233A8" w:rsidP="00B233A8">
            <w:pPr>
              <w:rPr>
                <w:b/>
              </w:rPr>
            </w:pPr>
            <w:r>
              <w:rPr>
                <w:b/>
              </w:rPr>
              <w:t>Süresiz</w:t>
            </w:r>
          </w:p>
        </w:tc>
      </w:tr>
    </w:tbl>
    <w:p w14:paraId="02FA85B5" w14:textId="77777777" w:rsidR="00B233A8" w:rsidRDefault="00B233A8" w:rsidP="00B233A8">
      <w:pPr>
        <w:pStyle w:val="ListParagraph"/>
        <w:tabs>
          <w:tab w:val="left" w:pos="426"/>
        </w:tabs>
        <w:ind w:left="0" w:firstLine="709"/>
        <w:contextualSpacing/>
      </w:pPr>
    </w:p>
    <w:p w14:paraId="3142E158" w14:textId="77777777" w:rsidR="000102C1" w:rsidRPr="009D2364" w:rsidRDefault="000102C1" w:rsidP="000102C1">
      <w:pPr>
        <w:tabs>
          <w:tab w:val="left" w:pos="426"/>
        </w:tabs>
        <w:contextualSpacing/>
        <w:rPr>
          <w:b/>
        </w:rPr>
      </w:pPr>
      <w:r>
        <w:tab/>
      </w:r>
      <w:r w:rsidRPr="009D2364">
        <w:t>Fon portföy yöneticilerine, fon müdürüne ve fon finansal raporlarının bağımsız denetimini yapan kuruluşa ilişkin bilgiler Fon’un KAP (</w:t>
      </w:r>
      <w:hyperlink r:id="rId10" w:history="1">
        <w:r w:rsidRPr="009D2364">
          <w:rPr>
            <w:rStyle w:val="Hyperlink"/>
          </w:rPr>
          <w:t>www.kap.org.tr</w:t>
        </w:r>
      </w:hyperlink>
      <w:r w:rsidRPr="009D2364">
        <w:t xml:space="preserve"> ) sayfasında yer almaktadır.</w:t>
      </w:r>
    </w:p>
    <w:p w14:paraId="2C25628F" w14:textId="77777777" w:rsidR="000102C1" w:rsidRPr="00EC42EC" w:rsidRDefault="000102C1" w:rsidP="00B233A8">
      <w:pPr>
        <w:pStyle w:val="ListParagraph"/>
        <w:tabs>
          <w:tab w:val="left" w:pos="426"/>
        </w:tabs>
        <w:ind w:left="0" w:firstLine="709"/>
        <w:contextualSpacing/>
      </w:pPr>
    </w:p>
    <w:p w14:paraId="5FE82C8C" w14:textId="77777777" w:rsidR="00B233A8" w:rsidRPr="00EC42EC" w:rsidRDefault="00B233A8" w:rsidP="00B233A8">
      <w:pPr>
        <w:ind w:firstLine="708"/>
        <w:rPr>
          <w:b/>
        </w:rPr>
      </w:pPr>
      <w:r w:rsidRPr="00EC42EC">
        <w:rPr>
          <w:b/>
        </w:rPr>
        <w:t>1.2. Kurucu, Yönetici ve Portföy Saklayıcısı Hakkında Genel Bilgiler</w:t>
      </w:r>
    </w:p>
    <w:p w14:paraId="251720CF" w14:textId="77777777" w:rsidR="00030F33" w:rsidRDefault="00030F33" w:rsidP="00030F33">
      <w:pPr>
        <w:pStyle w:val="ListParagraph"/>
        <w:tabs>
          <w:tab w:val="left" w:pos="426"/>
        </w:tabs>
        <w:ind w:left="0" w:firstLine="709"/>
        <w:contextualSpacing/>
      </w:pPr>
    </w:p>
    <w:p w14:paraId="6901CEC0" w14:textId="09361D70" w:rsidR="00B233A8" w:rsidRDefault="00030F33" w:rsidP="00186B1A">
      <w:pPr>
        <w:pStyle w:val="ListParagraph"/>
        <w:tabs>
          <w:tab w:val="left" w:pos="426"/>
        </w:tabs>
        <w:ind w:left="0" w:firstLine="709"/>
        <w:contextualSpacing/>
      </w:pPr>
      <w:r>
        <w:t xml:space="preserve">Fon’u temsil ve ilzama Kurucunun yönetim kurulu üyeleri yetkilidir. Kurucu yetkililerine, Kurucu bünyesindeki birimlere, dışarıdan alınan hizmetlere ve varsa, kurucunun şube ve acentelerine ilişkin bilgiler </w:t>
      </w:r>
      <w:proofErr w:type="spellStart"/>
      <w:r>
        <w:t>Kurucu’nun</w:t>
      </w:r>
      <w:proofErr w:type="spellEnd"/>
      <w:r>
        <w:t xml:space="preserve"> KAP (</w:t>
      </w:r>
      <w:hyperlink r:id="rId11" w:history="1">
        <w:r>
          <w:rPr>
            <w:rStyle w:val="Hyperlink"/>
          </w:rPr>
          <w:t>www.kap.org.tr</w:t>
        </w:r>
      </w:hyperlink>
      <w:r>
        <w:t>)  sayfasında yer almaktadır.</w:t>
      </w:r>
    </w:p>
    <w:p w14:paraId="2550D95C" w14:textId="77777777" w:rsidR="00186B1A" w:rsidRPr="00EC42EC" w:rsidRDefault="00186B1A" w:rsidP="00186B1A">
      <w:pPr>
        <w:pStyle w:val="ListParagraph"/>
        <w:tabs>
          <w:tab w:val="left" w:pos="426"/>
        </w:tabs>
        <w:ind w:left="0" w:firstLine="709"/>
        <w:contextualSpacing/>
        <w:rPr>
          <w:b/>
        </w:rPr>
      </w:pPr>
    </w:p>
    <w:p w14:paraId="05658F12" w14:textId="77777777" w:rsidR="00B233A8" w:rsidRPr="00EC42EC" w:rsidRDefault="00B233A8" w:rsidP="00B233A8">
      <w:pPr>
        <w:ind w:firstLine="708"/>
        <w:rPr>
          <w:b/>
        </w:rPr>
      </w:pPr>
      <w:r w:rsidRPr="00EC42EC">
        <w:rPr>
          <w:b/>
        </w:rPr>
        <w:t>1.2.1. Unvan ve Yetki Belgelerine İlişkin Bilgiler</w:t>
      </w:r>
    </w:p>
    <w:p w14:paraId="242E478F" w14:textId="77777777" w:rsidR="00B233A8" w:rsidRPr="00EC42EC" w:rsidRDefault="00B233A8" w:rsidP="00B233A8">
      <w:pPr>
        <w:pStyle w:val="ListParagraph"/>
        <w:ind w:left="1080"/>
        <w:rPr>
          <w:b/>
        </w:rPr>
      </w:pPr>
    </w:p>
    <w:tbl>
      <w:tblPr>
        <w:tblStyle w:val="TableGrid"/>
        <w:tblW w:w="0" w:type="auto"/>
        <w:tblInd w:w="137" w:type="dxa"/>
        <w:tblLook w:val="04A0" w:firstRow="1" w:lastRow="0" w:firstColumn="1" w:lastColumn="0" w:noHBand="0" w:noVBand="1"/>
      </w:tblPr>
      <w:tblGrid>
        <w:gridCol w:w="3969"/>
        <w:gridCol w:w="5384"/>
      </w:tblGrid>
      <w:tr w:rsidR="00B233A8" w:rsidRPr="00EC42EC" w14:paraId="15D6047E" w14:textId="77777777" w:rsidTr="00B233A8">
        <w:trPr>
          <w:trHeight w:val="324"/>
        </w:trPr>
        <w:tc>
          <w:tcPr>
            <w:tcW w:w="9353" w:type="dxa"/>
            <w:gridSpan w:val="2"/>
          </w:tcPr>
          <w:p w14:paraId="1E7BFE43" w14:textId="77777777" w:rsidR="00B233A8" w:rsidRPr="00EC42EC" w:rsidRDefault="00B233A8" w:rsidP="00B233A8">
            <w:pPr>
              <w:rPr>
                <w:b/>
                <w:i/>
              </w:rPr>
            </w:pPr>
            <w:r>
              <w:rPr>
                <w:b/>
                <w:i/>
              </w:rPr>
              <w:t xml:space="preserve">Kurucu ve </w:t>
            </w:r>
            <w:proofErr w:type="spellStart"/>
            <w:r>
              <w:rPr>
                <w:b/>
                <w:i/>
              </w:rPr>
              <w:t>Yönetici’nin</w:t>
            </w:r>
            <w:proofErr w:type="spellEnd"/>
          </w:p>
        </w:tc>
      </w:tr>
      <w:tr w:rsidR="00B233A8" w:rsidRPr="00EC42EC" w14:paraId="05486883" w14:textId="77777777" w:rsidTr="00B233A8">
        <w:trPr>
          <w:trHeight w:val="252"/>
        </w:trPr>
        <w:tc>
          <w:tcPr>
            <w:tcW w:w="3969" w:type="dxa"/>
          </w:tcPr>
          <w:p w14:paraId="4E77196F" w14:textId="77777777" w:rsidR="00B233A8" w:rsidRPr="00EC42EC" w:rsidRDefault="00B233A8" w:rsidP="00B233A8">
            <w:r w:rsidRPr="00EC42EC">
              <w:t xml:space="preserve">Unvanı: </w:t>
            </w:r>
          </w:p>
        </w:tc>
        <w:tc>
          <w:tcPr>
            <w:tcW w:w="5384" w:type="dxa"/>
          </w:tcPr>
          <w:p w14:paraId="4A1791FD" w14:textId="77777777" w:rsidR="00B233A8" w:rsidRPr="00A514AB" w:rsidRDefault="00B233A8" w:rsidP="00B233A8">
            <w:r w:rsidRPr="00A514AB">
              <w:t>Hedef Portföy Yönetimi A.Ş.</w:t>
            </w:r>
          </w:p>
        </w:tc>
      </w:tr>
      <w:tr w:rsidR="00B233A8" w:rsidRPr="00EC42EC" w14:paraId="3ACE56CA" w14:textId="77777777" w:rsidTr="00B233A8">
        <w:trPr>
          <w:trHeight w:val="252"/>
        </w:trPr>
        <w:tc>
          <w:tcPr>
            <w:tcW w:w="3969" w:type="dxa"/>
            <w:tcBorders>
              <w:top w:val="nil"/>
              <w:left w:val="single" w:sz="8" w:space="0" w:color="auto"/>
              <w:bottom w:val="single" w:sz="8" w:space="0" w:color="auto"/>
              <w:right w:val="single" w:sz="8" w:space="0" w:color="auto"/>
            </w:tcBorders>
          </w:tcPr>
          <w:p w14:paraId="45DE15A6" w14:textId="78BAE9D1" w:rsidR="00B233A8" w:rsidRPr="00EC42EC" w:rsidRDefault="00B233A8" w:rsidP="00B233A8">
            <w:r>
              <w:t>Yetki Belgesi/</w:t>
            </w:r>
            <w:proofErr w:type="spellStart"/>
            <w:r>
              <w:t>leri</w:t>
            </w:r>
            <w:proofErr w:type="spellEnd"/>
          </w:p>
        </w:tc>
        <w:tc>
          <w:tcPr>
            <w:tcW w:w="5384" w:type="dxa"/>
            <w:tcBorders>
              <w:top w:val="nil"/>
              <w:left w:val="nil"/>
              <w:bottom w:val="single" w:sz="8" w:space="0" w:color="auto"/>
              <w:right w:val="single" w:sz="8" w:space="0" w:color="auto"/>
            </w:tcBorders>
          </w:tcPr>
          <w:p w14:paraId="34B91102" w14:textId="4C8B8F7E" w:rsidR="00B233A8" w:rsidRPr="00030F33" w:rsidRDefault="00030F33" w:rsidP="00B233A8">
            <w:r w:rsidRPr="00030F33">
              <w:t>Portföy Yöneticiliği ve Yatırım Danışmanlığı Faaliyetine İlişkin Yetki Belgesi Tarih: 08.05.2023 No: PYŞ/PY.42-YD.25/789-432</w:t>
            </w:r>
          </w:p>
        </w:tc>
      </w:tr>
      <w:tr w:rsidR="00B233A8" w:rsidRPr="00EC42EC" w14:paraId="09890006" w14:textId="77777777" w:rsidTr="00B233A8">
        <w:trPr>
          <w:trHeight w:val="252"/>
        </w:trPr>
        <w:tc>
          <w:tcPr>
            <w:tcW w:w="9353" w:type="dxa"/>
            <w:gridSpan w:val="2"/>
          </w:tcPr>
          <w:p w14:paraId="18E44DCA" w14:textId="77777777" w:rsidR="00B233A8" w:rsidRPr="00EC42EC" w:rsidRDefault="00B233A8" w:rsidP="00B233A8">
            <w:pPr>
              <w:rPr>
                <w:b/>
                <w:i/>
              </w:rPr>
            </w:pPr>
            <w:r w:rsidRPr="00EC42EC">
              <w:rPr>
                <w:b/>
                <w:i/>
              </w:rPr>
              <w:t xml:space="preserve">Portföy </w:t>
            </w:r>
            <w:proofErr w:type="spellStart"/>
            <w:r w:rsidRPr="00EC42EC">
              <w:rPr>
                <w:b/>
                <w:i/>
              </w:rPr>
              <w:t>Saklayıcısı’nın</w:t>
            </w:r>
            <w:proofErr w:type="spellEnd"/>
          </w:p>
        </w:tc>
      </w:tr>
      <w:tr w:rsidR="00B233A8" w:rsidRPr="00EC42EC" w14:paraId="1A790B39" w14:textId="77777777" w:rsidTr="00B233A8">
        <w:trPr>
          <w:trHeight w:val="252"/>
        </w:trPr>
        <w:tc>
          <w:tcPr>
            <w:tcW w:w="3969" w:type="dxa"/>
          </w:tcPr>
          <w:p w14:paraId="67D29E26" w14:textId="77777777" w:rsidR="00B233A8" w:rsidRPr="00EC42EC" w:rsidRDefault="00B233A8" w:rsidP="00B233A8">
            <w:r w:rsidRPr="00EC42EC">
              <w:t>Unvanı:</w:t>
            </w:r>
          </w:p>
        </w:tc>
        <w:tc>
          <w:tcPr>
            <w:tcW w:w="5384" w:type="dxa"/>
          </w:tcPr>
          <w:p w14:paraId="160A0BF2" w14:textId="77777777" w:rsidR="00B233A8" w:rsidRPr="00A514AB" w:rsidRDefault="00B233A8" w:rsidP="00B233A8">
            <w:r w:rsidRPr="00A514AB">
              <w:t>Denizbank A.Ş.</w:t>
            </w:r>
          </w:p>
        </w:tc>
      </w:tr>
      <w:tr w:rsidR="00B233A8" w:rsidRPr="00EC42EC" w14:paraId="79619311" w14:textId="77777777" w:rsidTr="00B233A8">
        <w:trPr>
          <w:trHeight w:val="262"/>
        </w:trPr>
        <w:tc>
          <w:tcPr>
            <w:tcW w:w="3969" w:type="dxa"/>
          </w:tcPr>
          <w:p w14:paraId="30B0480C" w14:textId="77777777" w:rsidR="00B233A8" w:rsidRPr="00EC42EC" w:rsidRDefault="00B233A8" w:rsidP="00B233A8">
            <w:r w:rsidRPr="00EC42EC">
              <w:t>Portföy Sakla</w:t>
            </w:r>
            <w:r>
              <w:t xml:space="preserve">ma </w:t>
            </w:r>
            <w:r w:rsidRPr="00EC42EC">
              <w:t>Faaliyeti</w:t>
            </w:r>
            <w:r>
              <w:t xml:space="preserve"> İzni</w:t>
            </w:r>
            <w:r w:rsidRPr="00EC42EC">
              <w:t xml:space="preserve">ne İlişkin Kurul </w:t>
            </w:r>
            <w:r>
              <w:t xml:space="preserve">Karar </w:t>
            </w:r>
            <w:r w:rsidRPr="00EC42EC">
              <w:t>Tarih</w:t>
            </w:r>
            <w:r>
              <w:t>i ve Numarası</w:t>
            </w:r>
          </w:p>
        </w:tc>
        <w:tc>
          <w:tcPr>
            <w:tcW w:w="5384" w:type="dxa"/>
          </w:tcPr>
          <w:p w14:paraId="75C8D2FE" w14:textId="77777777" w:rsidR="00B233A8" w:rsidRPr="00A514AB" w:rsidRDefault="00B233A8" w:rsidP="00B233A8">
            <w:pPr>
              <w:rPr>
                <w:bCs/>
              </w:rPr>
            </w:pPr>
            <w:r w:rsidRPr="00A514AB">
              <w:rPr>
                <w:bCs/>
              </w:rPr>
              <w:t>Tarih: 17.07.2014</w:t>
            </w:r>
          </w:p>
          <w:p w14:paraId="345343EC" w14:textId="77777777" w:rsidR="00B233A8" w:rsidRPr="00A514AB" w:rsidRDefault="00B233A8" w:rsidP="00B233A8">
            <w:r w:rsidRPr="00A514AB">
              <w:rPr>
                <w:bCs/>
              </w:rPr>
              <w:t>No: 22/729</w:t>
            </w:r>
          </w:p>
        </w:tc>
      </w:tr>
    </w:tbl>
    <w:p w14:paraId="2F53E751" w14:textId="77777777" w:rsidR="00B233A8" w:rsidRPr="00EC42EC" w:rsidRDefault="00B233A8" w:rsidP="00B233A8">
      <w:pPr>
        <w:pStyle w:val="ListParagraph"/>
        <w:ind w:left="1069"/>
        <w:rPr>
          <w:b/>
        </w:rPr>
      </w:pPr>
    </w:p>
    <w:p w14:paraId="40DDD6E2" w14:textId="77777777" w:rsidR="00B233A8" w:rsidRPr="00EC42EC" w:rsidRDefault="00B233A8" w:rsidP="00B233A8">
      <w:pPr>
        <w:ind w:left="709"/>
        <w:rPr>
          <w:b/>
        </w:rPr>
      </w:pPr>
      <w:r w:rsidRPr="00EC42EC">
        <w:rPr>
          <w:b/>
        </w:rPr>
        <w:t>1.2.2. İletişim Bilgileri</w:t>
      </w:r>
    </w:p>
    <w:p w14:paraId="19896862" w14:textId="77777777" w:rsidR="00B233A8" w:rsidRPr="00EC42EC" w:rsidRDefault="00B233A8" w:rsidP="00B233A8">
      <w:pPr>
        <w:ind w:left="709"/>
        <w:rPr>
          <w:b/>
        </w:rPr>
      </w:pPr>
    </w:p>
    <w:tbl>
      <w:tblPr>
        <w:tblStyle w:val="TableGrid"/>
        <w:tblW w:w="0" w:type="auto"/>
        <w:tblInd w:w="137" w:type="dxa"/>
        <w:tblLook w:val="04A0" w:firstRow="1" w:lastRow="0" w:firstColumn="1" w:lastColumn="0" w:noHBand="0" w:noVBand="1"/>
      </w:tblPr>
      <w:tblGrid>
        <w:gridCol w:w="3969"/>
        <w:gridCol w:w="5384"/>
      </w:tblGrid>
      <w:tr w:rsidR="00B233A8" w:rsidRPr="00EC42EC" w14:paraId="1ADB35E4" w14:textId="77777777" w:rsidTr="00B233A8">
        <w:trPr>
          <w:trHeight w:val="324"/>
        </w:trPr>
        <w:tc>
          <w:tcPr>
            <w:tcW w:w="9353" w:type="dxa"/>
            <w:gridSpan w:val="2"/>
          </w:tcPr>
          <w:p w14:paraId="477627A1" w14:textId="77777777" w:rsidR="00B233A8" w:rsidRPr="00EC42EC" w:rsidRDefault="00B233A8" w:rsidP="00B233A8">
            <w:pPr>
              <w:rPr>
                <w:b/>
                <w:i/>
              </w:rPr>
            </w:pPr>
            <w:r w:rsidRPr="00EC42EC">
              <w:rPr>
                <w:b/>
                <w:i/>
              </w:rPr>
              <w:t>Kurucu</w:t>
            </w:r>
            <w:r>
              <w:rPr>
                <w:b/>
                <w:i/>
              </w:rPr>
              <w:t xml:space="preserve"> ve Yönetici</w:t>
            </w:r>
            <w:r w:rsidRPr="00EC42EC">
              <w:rPr>
                <w:b/>
                <w:i/>
              </w:rPr>
              <w:t xml:space="preserve"> </w:t>
            </w:r>
            <w:r>
              <w:rPr>
                <w:b/>
                <w:i/>
              </w:rPr>
              <w:t xml:space="preserve">Hedef </w:t>
            </w:r>
            <w:r w:rsidRPr="00EC42EC">
              <w:rPr>
                <w:b/>
                <w:i/>
              </w:rPr>
              <w:t>Portföy Yönetimi A.Ş.’</w:t>
            </w:r>
            <w:proofErr w:type="spellStart"/>
            <w:r w:rsidRPr="00EC42EC">
              <w:rPr>
                <w:b/>
                <w:i/>
              </w:rPr>
              <w:t>nin</w:t>
            </w:r>
            <w:proofErr w:type="spellEnd"/>
          </w:p>
        </w:tc>
      </w:tr>
      <w:tr w:rsidR="00B233A8" w:rsidRPr="00EC42EC" w14:paraId="1EBBD30E" w14:textId="77777777" w:rsidTr="00B233A8">
        <w:trPr>
          <w:trHeight w:val="252"/>
        </w:trPr>
        <w:tc>
          <w:tcPr>
            <w:tcW w:w="3969" w:type="dxa"/>
          </w:tcPr>
          <w:p w14:paraId="66AF1C9B" w14:textId="77777777" w:rsidR="00B233A8" w:rsidRPr="00EC42EC" w:rsidRDefault="00B233A8" w:rsidP="00B233A8">
            <w:r w:rsidRPr="00EC42EC">
              <w:t>Merkez adresi ve internet sitesi:</w:t>
            </w:r>
          </w:p>
        </w:tc>
        <w:tc>
          <w:tcPr>
            <w:tcW w:w="5384" w:type="dxa"/>
          </w:tcPr>
          <w:p w14:paraId="66E949A9" w14:textId="2243C66A" w:rsidR="00B233A8" w:rsidRPr="00D121FA" w:rsidRDefault="00D121FA" w:rsidP="00B233A8">
            <w:pPr>
              <w:rPr>
                <w:color w:val="0000FF"/>
                <w:u w:val="single"/>
              </w:rPr>
            </w:pPr>
            <w:r w:rsidRPr="00220234">
              <w:t xml:space="preserve">Saray </w:t>
            </w:r>
            <w:proofErr w:type="spellStart"/>
            <w:r w:rsidRPr="00220234">
              <w:t>Mh</w:t>
            </w:r>
            <w:proofErr w:type="spellEnd"/>
            <w:r w:rsidRPr="00220234">
              <w:t xml:space="preserve">. Dr. Adnan Büyükdeniz </w:t>
            </w:r>
            <w:proofErr w:type="spellStart"/>
            <w:r w:rsidRPr="00220234">
              <w:t>Cd</w:t>
            </w:r>
            <w:proofErr w:type="spellEnd"/>
            <w:r w:rsidRPr="00220234">
              <w:t xml:space="preserve">. No:4/2 </w:t>
            </w:r>
            <w:proofErr w:type="spellStart"/>
            <w:r w:rsidRPr="00220234">
              <w:t>Cessas</w:t>
            </w:r>
            <w:proofErr w:type="spellEnd"/>
            <w:r w:rsidRPr="00220234">
              <w:t xml:space="preserve"> Plaza, Kat:7, Daire:15 34768 Ümraniye İstanbul</w:t>
            </w:r>
            <w:r>
              <w:t xml:space="preserve"> </w:t>
            </w:r>
            <w:hyperlink r:id="rId12" w:history="1">
              <w:r w:rsidRPr="006654C0">
                <w:rPr>
                  <w:rStyle w:val="Hyperlink"/>
                </w:rPr>
                <w:t>www.hedefportfoy.com</w:t>
              </w:r>
            </w:hyperlink>
          </w:p>
        </w:tc>
      </w:tr>
      <w:tr w:rsidR="00B233A8" w:rsidRPr="00EC42EC" w14:paraId="6F1BCF95" w14:textId="77777777" w:rsidTr="00B233A8">
        <w:trPr>
          <w:trHeight w:val="252"/>
        </w:trPr>
        <w:tc>
          <w:tcPr>
            <w:tcW w:w="3969" w:type="dxa"/>
          </w:tcPr>
          <w:p w14:paraId="269C80D3" w14:textId="77777777" w:rsidR="00B233A8" w:rsidRPr="00EC42EC" w:rsidRDefault="00B233A8" w:rsidP="00B233A8">
            <w:r w:rsidRPr="00EC42EC">
              <w:t>Telefon numarası:</w:t>
            </w:r>
          </w:p>
        </w:tc>
        <w:tc>
          <w:tcPr>
            <w:tcW w:w="5384" w:type="dxa"/>
          </w:tcPr>
          <w:p w14:paraId="5D06F618" w14:textId="728F97F8" w:rsidR="00B233A8" w:rsidRPr="00EC42EC" w:rsidRDefault="00D121FA" w:rsidP="00B233A8">
            <w:pPr>
              <w:rPr>
                <w:b/>
              </w:rPr>
            </w:pPr>
            <w:r>
              <w:rPr>
                <w:b/>
              </w:rPr>
              <w:t xml:space="preserve">Tel: 0216 970 8570 – </w:t>
            </w:r>
            <w:proofErr w:type="spellStart"/>
            <w:r>
              <w:rPr>
                <w:b/>
              </w:rPr>
              <w:t>Fax</w:t>
            </w:r>
            <w:proofErr w:type="spellEnd"/>
            <w:r>
              <w:rPr>
                <w:b/>
              </w:rPr>
              <w:t>: 0216 970 8561</w:t>
            </w:r>
          </w:p>
        </w:tc>
      </w:tr>
      <w:tr w:rsidR="00B233A8" w:rsidRPr="00EC42EC" w14:paraId="67C27FA5" w14:textId="77777777" w:rsidTr="00B233A8">
        <w:trPr>
          <w:trHeight w:val="252"/>
        </w:trPr>
        <w:tc>
          <w:tcPr>
            <w:tcW w:w="9353" w:type="dxa"/>
            <w:gridSpan w:val="2"/>
          </w:tcPr>
          <w:p w14:paraId="18F7714E" w14:textId="77777777" w:rsidR="00B233A8" w:rsidRPr="00EC42EC" w:rsidRDefault="00B233A8" w:rsidP="00B233A8">
            <w:pPr>
              <w:rPr>
                <w:b/>
                <w:i/>
              </w:rPr>
            </w:pPr>
            <w:r w:rsidRPr="00EC42EC">
              <w:rPr>
                <w:b/>
                <w:i/>
              </w:rPr>
              <w:t xml:space="preserve">Portföy Saklayıcısı </w:t>
            </w:r>
            <w:r w:rsidRPr="00A514AB">
              <w:rPr>
                <w:b/>
                <w:i/>
              </w:rPr>
              <w:t xml:space="preserve">Denizbank </w:t>
            </w:r>
            <w:r w:rsidRPr="00965546">
              <w:rPr>
                <w:b/>
                <w:i/>
              </w:rPr>
              <w:t>A.Ş.’</w:t>
            </w:r>
            <w:proofErr w:type="spellStart"/>
            <w:r w:rsidRPr="00965546">
              <w:rPr>
                <w:b/>
                <w:i/>
              </w:rPr>
              <w:t>nin</w:t>
            </w:r>
            <w:proofErr w:type="spellEnd"/>
          </w:p>
        </w:tc>
      </w:tr>
      <w:tr w:rsidR="00B233A8" w:rsidRPr="00EC42EC" w14:paraId="33DCAB93" w14:textId="77777777" w:rsidTr="00B233A8">
        <w:trPr>
          <w:trHeight w:val="262"/>
        </w:trPr>
        <w:tc>
          <w:tcPr>
            <w:tcW w:w="3969" w:type="dxa"/>
          </w:tcPr>
          <w:p w14:paraId="2BA7D3A1" w14:textId="77777777" w:rsidR="00B233A8" w:rsidRPr="00EC42EC" w:rsidRDefault="00B233A8" w:rsidP="00B233A8">
            <w:r w:rsidRPr="00EC42EC">
              <w:t>Merkez adresi ve internet sitesi:</w:t>
            </w:r>
          </w:p>
        </w:tc>
        <w:tc>
          <w:tcPr>
            <w:tcW w:w="5384" w:type="dxa"/>
          </w:tcPr>
          <w:p w14:paraId="606E9689" w14:textId="77777777" w:rsidR="00B233A8" w:rsidRDefault="00B233A8" w:rsidP="00B233A8">
            <w:r>
              <w:t xml:space="preserve">Büyükdere Cad. Torun </w:t>
            </w:r>
            <w:proofErr w:type="spellStart"/>
            <w:r>
              <w:t>Tower</w:t>
            </w:r>
            <w:proofErr w:type="spellEnd"/>
            <w:r>
              <w:t xml:space="preserve"> No:141 34394 Esentepe/İstanbul</w:t>
            </w:r>
          </w:p>
          <w:p w14:paraId="0D91F7D0" w14:textId="77777777" w:rsidR="00B233A8" w:rsidRPr="00EC42EC" w:rsidRDefault="000102C1" w:rsidP="00B233A8">
            <w:pPr>
              <w:rPr>
                <w:b/>
              </w:rPr>
            </w:pPr>
            <w:hyperlink r:id="rId13" w:history="1">
              <w:r w:rsidR="00B233A8" w:rsidRPr="006A1CDF">
                <w:rPr>
                  <w:rStyle w:val="Hyperlink"/>
                </w:rPr>
                <w:t>www.denizbank.com</w:t>
              </w:r>
            </w:hyperlink>
          </w:p>
        </w:tc>
      </w:tr>
      <w:tr w:rsidR="00B233A8" w:rsidRPr="00EC42EC" w14:paraId="23D35D3F" w14:textId="77777777" w:rsidTr="00B233A8">
        <w:trPr>
          <w:trHeight w:val="262"/>
        </w:trPr>
        <w:tc>
          <w:tcPr>
            <w:tcW w:w="3969" w:type="dxa"/>
          </w:tcPr>
          <w:p w14:paraId="33AEE50B" w14:textId="77777777" w:rsidR="00B233A8" w:rsidRPr="00EC42EC" w:rsidRDefault="00B233A8" w:rsidP="00B233A8">
            <w:r w:rsidRPr="00EC42EC">
              <w:t>Telefon numarası:</w:t>
            </w:r>
          </w:p>
        </w:tc>
        <w:tc>
          <w:tcPr>
            <w:tcW w:w="5384" w:type="dxa"/>
          </w:tcPr>
          <w:p w14:paraId="5795AB24" w14:textId="77777777" w:rsidR="00B233A8" w:rsidRPr="00EC42EC" w:rsidRDefault="00B233A8" w:rsidP="00B233A8">
            <w:pPr>
              <w:rPr>
                <w:b/>
              </w:rPr>
            </w:pPr>
            <w:r>
              <w:t>0212 348 20 00</w:t>
            </w:r>
          </w:p>
        </w:tc>
      </w:tr>
    </w:tbl>
    <w:p w14:paraId="7EACF334" w14:textId="7E52E410" w:rsidR="00B233A8" w:rsidRDefault="00B233A8" w:rsidP="00B233A8">
      <w:pPr>
        <w:ind w:left="709"/>
        <w:rPr>
          <w:b/>
        </w:rPr>
      </w:pPr>
    </w:p>
    <w:p w14:paraId="2D9384F2" w14:textId="77777777" w:rsidR="00186B1A" w:rsidRDefault="00186B1A" w:rsidP="00B233A8">
      <w:pPr>
        <w:ind w:left="709"/>
        <w:rPr>
          <w:b/>
        </w:rPr>
      </w:pPr>
    </w:p>
    <w:p w14:paraId="60863EDD" w14:textId="77777777" w:rsidR="00B233A8" w:rsidRPr="00EC42EC" w:rsidRDefault="00B233A8" w:rsidP="00B233A8">
      <w:pPr>
        <w:pStyle w:val="Heading2"/>
        <w:ind w:firstLine="709"/>
        <w:rPr>
          <w:rFonts w:cs="Times New Roman"/>
          <w:sz w:val="24"/>
          <w:szCs w:val="24"/>
        </w:rPr>
      </w:pPr>
      <w:r w:rsidRPr="00EC42EC">
        <w:rPr>
          <w:rFonts w:cs="Times New Roman"/>
          <w:sz w:val="24"/>
          <w:szCs w:val="24"/>
        </w:rPr>
        <w:t>II. FON PORTFÖYÜNÜN YÖNETİMİ, YATIRIM STRATEJİSİ İLE FON PORTFÖY SINIRLAMALARI</w:t>
      </w:r>
    </w:p>
    <w:p w14:paraId="763152BD" w14:textId="77777777" w:rsidR="00B233A8" w:rsidRPr="00EC42EC" w:rsidRDefault="00B233A8" w:rsidP="00A514AB">
      <w:pPr>
        <w:tabs>
          <w:tab w:val="left" w:pos="426"/>
        </w:tabs>
        <w:contextualSpacing/>
      </w:pPr>
    </w:p>
    <w:p w14:paraId="5D402601" w14:textId="77777777" w:rsidR="00B233A8" w:rsidRPr="00EC42EC" w:rsidRDefault="00B233A8" w:rsidP="00B233A8">
      <w:pPr>
        <w:pStyle w:val="ListParagraph"/>
        <w:tabs>
          <w:tab w:val="left" w:pos="426"/>
        </w:tabs>
        <w:ind w:left="0" w:firstLine="709"/>
        <w:contextualSpacing/>
      </w:pPr>
      <w:r w:rsidRPr="00EC42EC">
        <w:rPr>
          <w:b/>
        </w:rPr>
        <w:t xml:space="preserve">2.1. </w:t>
      </w:r>
      <w:r w:rsidRPr="00EC42EC">
        <w:t>Kurucu, fonun katılma payı sahiplerinin haklarını koruyacak şekilde temsili, yönetimi, yönetiminin denetlenmesi ile faaliyetlerinin içtüzük ve izahname hükümlerine uygun olarak yürütülmesinden sorumludur. Kurucu fona ait varlıklar üzerinde kendi adına ve fon hesabına mevzuat ve içtüzüğe uygun olarak tasarrufta bulunmaya ve bundan doğan hakları kullanmaya yetkilidir. Fonun faaliyetlerinin yürütülmesi esnasında portföy yöneticiliği hizmeti de dahil olmak üzere dışarıdan hizmet alınması, Kurucunun sorumluluğunu ortadan kaldırmaz.</w:t>
      </w:r>
    </w:p>
    <w:p w14:paraId="00FECC42" w14:textId="77777777" w:rsidR="00B233A8" w:rsidRPr="00EC42EC" w:rsidRDefault="00B233A8" w:rsidP="00B233A8">
      <w:pPr>
        <w:pStyle w:val="ListParagraph"/>
        <w:tabs>
          <w:tab w:val="left" w:pos="426"/>
        </w:tabs>
        <w:ind w:left="0" w:firstLine="709"/>
        <w:contextualSpacing/>
        <w:rPr>
          <w:b/>
        </w:rPr>
      </w:pPr>
    </w:p>
    <w:p w14:paraId="49EEB5ED" w14:textId="77777777" w:rsidR="00B233A8" w:rsidRPr="00EC42EC" w:rsidRDefault="00B233A8" w:rsidP="00B233A8">
      <w:pPr>
        <w:pStyle w:val="ListParagraph"/>
        <w:tabs>
          <w:tab w:val="left" w:pos="426"/>
        </w:tabs>
        <w:ind w:left="0" w:firstLine="709"/>
        <w:contextualSpacing/>
        <w:rPr>
          <w:b/>
        </w:rPr>
      </w:pPr>
      <w:r w:rsidRPr="00EC42EC">
        <w:rPr>
          <w:b/>
        </w:rPr>
        <w:t xml:space="preserve">2.2. </w:t>
      </w:r>
      <w:r w:rsidRPr="00EC42EC">
        <w:t>Fon portföyü, kolektif portföy yöneticiliğine ilişkin PYŞ Tebliği’nde</w:t>
      </w:r>
      <w:r w:rsidR="00965546">
        <w:t xml:space="preserve"> </w:t>
      </w:r>
      <w:r w:rsidRPr="00EC42EC">
        <w:t>belirtilen ilkeler ve fon portföyüne dahil edilebilecek varlık ve haklara ilişkin Tebliğ’de yer alan sınırlamalar çerçevesinde yönetilir.</w:t>
      </w:r>
    </w:p>
    <w:p w14:paraId="7B5BC8CE" w14:textId="77777777" w:rsidR="00B233A8" w:rsidRPr="00A514AB" w:rsidRDefault="00B233A8" w:rsidP="00A514AB">
      <w:pPr>
        <w:tabs>
          <w:tab w:val="left" w:pos="426"/>
        </w:tabs>
        <w:contextualSpacing/>
        <w:rPr>
          <w:b/>
        </w:rPr>
      </w:pPr>
    </w:p>
    <w:p w14:paraId="51B98900" w14:textId="71D9530A" w:rsidR="008C00C3" w:rsidRDefault="00B233A8">
      <w:pPr>
        <w:pStyle w:val="ListParagraph"/>
        <w:tabs>
          <w:tab w:val="left" w:pos="426"/>
        </w:tabs>
        <w:ind w:left="0" w:firstLine="709"/>
        <w:contextualSpacing/>
      </w:pPr>
      <w:r w:rsidRPr="00EC42EC">
        <w:t>Fon’un yatırım stratejisi</w:t>
      </w:r>
      <w:r w:rsidR="00A6777C">
        <w:t>:</w:t>
      </w:r>
      <w:r w:rsidRPr="00EC42EC">
        <w:t xml:space="preserve"> </w:t>
      </w:r>
      <w:r w:rsidR="008C00C3" w:rsidRPr="008C00C3">
        <w:t xml:space="preserve">Fon toplam değerinin en az %80’i devamlı olarak ihraççı paylarına ve </w:t>
      </w:r>
      <w:r w:rsidR="00DD1181" w:rsidRPr="00280A11">
        <w:rPr>
          <w:color w:val="000000"/>
          <w:szCs w:val="22"/>
        </w:rPr>
        <w:t>ihraççı paylarından oluşan endeksleri takip etmek üzere kurulan</w:t>
      </w:r>
      <w:r w:rsidR="00357B33" w:rsidRPr="00AC3197">
        <w:rPr>
          <w:color w:val="000000"/>
          <w:szCs w:val="22"/>
        </w:rPr>
        <w:t xml:space="preserve"> borsa yatırım fonu katılma paylarına </w:t>
      </w:r>
      <w:r w:rsidR="002E4EB6">
        <w:rPr>
          <w:color w:val="000000"/>
          <w:szCs w:val="22"/>
        </w:rPr>
        <w:t>yatırılır.</w:t>
      </w:r>
    </w:p>
    <w:p w14:paraId="523CD78E" w14:textId="77777777" w:rsidR="009879A3" w:rsidRDefault="009879A3" w:rsidP="00D74A10">
      <w:pPr>
        <w:spacing w:after="5" w:line="250" w:lineRule="auto"/>
        <w:ind w:left="-15" w:right="-98" w:firstLine="708"/>
        <w:rPr>
          <w:color w:val="000000"/>
          <w:szCs w:val="22"/>
        </w:rPr>
      </w:pPr>
    </w:p>
    <w:p w14:paraId="74EFA6C8" w14:textId="2F5B0789" w:rsidR="00AB2993" w:rsidRDefault="00AB2993" w:rsidP="00D74A10">
      <w:pPr>
        <w:spacing w:after="5" w:line="250" w:lineRule="auto"/>
        <w:ind w:left="-15" w:right="-98" w:firstLine="708"/>
      </w:pPr>
      <w:r w:rsidRPr="0006775F">
        <w:rPr>
          <w:color w:val="000000"/>
          <w:szCs w:val="22"/>
        </w:rPr>
        <w:t xml:space="preserve">Fon’un hisse senedi yoğun fon olması nedeniyle Fon portföy değerinin en az %80’i devamlı olarak menkul kıymet yatırım ortaklıkları payları hariç olmak üzere </w:t>
      </w:r>
      <w:proofErr w:type="spellStart"/>
      <w:r w:rsidRPr="0006775F">
        <w:rPr>
          <w:color w:val="000000"/>
          <w:szCs w:val="22"/>
        </w:rPr>
        <w:t>BIST’te</w:t>
      </w:r>
      <w:proofErr w:type="spellEnd"/>
      <w:r w:rsidRPr="0006775F">
        <w:rPr>
          <w:color w:val="000000"/>
          <w:szCs w:val="22"/>
        </w:rPr>
        <w:t xml:space="preserve"> işlem gören ihraççı payları, ihraççı paylarına ve ihraççı payı endekslerine dayalı olarak yapılan vadeli işlem sözleşmelerinin nakit teminatları, ihraççı paylarına ve </w:t>
      </w:r>
      <w:r w:rsidRPr="0010714F">
        <w:rPr>
          <w:color w:val="000000"/>
          <w:szCs w:val="22"/>
        </w:rPr>
        <w:t>pay endekslerine</w:t>
      </w:r>
      <w:r w:rsidRPr="0006775F">
        <w:rPr>
          <w:color w:val="000000"/>
          <w:szCs w:val="22"/>
        </w:rPr>
        <w:t xml:space="preserve"> dayalı opsiyon sözleşmelerinin primleri</w:t>
      </w:r>
      <w:r>
        <w:rPr>
          <w:color w:val="000000"/>
          <w:szCs w:val="22"/>
        </w:rPr>
        <w:t>,</w:t>
      </w:r>
      <w:r w:rsidRPr="0006775F">
        <w:rPr>
          <w:color w:val="000000"/>
          <w:szCs w:val="22"/>
        </w:rPr>
        <w:t xml:space="preserve"> borsada işlem gören ihraççı paylarına ve </w:t>
      </w:r>
      <w:r w:rsidRPr="003A1922">
        <w:t>pay endekslerine</w:t>
      </w:r>
      <w:r w:rsidRPr="0006775F">
        <w:rPr>
          <w:color w:val="000000"/>
          <w:szCs w:val="22"/>
        </w:rPr>
        <w:t xml:space="preserve"> dayalı aracı kuruluş varantları</w:t>
      </w:r>
      <w:r>
        <w:rPr>
          <w:color w:val="000000"/>
          <w:szCs w:val="22"/>
        </w:rPr>
        <w:t xml:space="preserve"> ile </w:t>
      </w:r>
      <w:r w:rsidRPr="00280A11">
        <w:rPr>
          <w:color w:val="000000"/>
          <w:szCs w:val="22"/>
        </w:rPr>
        <w:t xml:space="preserve">en az %80’i devamlı olarak menkul kıymet yatırım ortaklıkları payları hariç olmak üzere </w:t>
      </w:r>
      <w:proofErr w:type="spellStart"/>
      <w:r w:rsidRPr="00280A11">
        <w:rPr>
          <w:color w:val="000000"/>
          <w:szCs w:val="22"/>
        </w:rPr>
        <w:t>BIST’te</w:t>
      </w:r>
      <w:proofErr w:type="spellEnd"/>
      <w:r w:rsidRPr="00280A11">
        <w:rPr>
          <w:color w:val="000000"/>
          <w:szCs w:val="22"/>
        </w:rPr>
        <w:t xml:space="preserve"> işlem gören ihraççı paylarından oluşan endeksleri takip etmek üzere kurulan bors</w:t>
      </w:r>
      <w:r w:rsidRPr="00DE592F">
        <w:rPr>
          <w:color w:val="000000"/>
          <w:szCs w:val="22"/>
        </w:rPr>
        <w:t>a yatırım fonu katılma payları</w:t>
      </w:r>
      <w:r w:rsidRPr="0006775F">
        <w:rPr>
          <w:color w:val="000000"/>
          <w:szCs w:val="22"/>
        </w:rPr>
        <w:t xml:space="preserve">na yatırılır. </w:t>
      </w:r>
    </w:p>
    <w:p w14:paraId="29928309" w14:textId="77777777" w:rsidR="009879A3" w:rsidRDefault="009879A3" w:rsidP="00A514AB">
      <w:pPr>
        <w:ind w:firstLine="708"/>
      </w:pPr>
    </w:p>
    <w:p w14:paraId="6B734414" w14:textId="25EA5383" w:rsidR="009879A3" w:rsidRDefault="009879A3" w:rsidP="00A514AB">
      <w:pPr>
        <w:ind w:firstLine="708"/>
      </w:pPr>
      <w:r w:rsidRPr="009879A3">
        <w:t>Fon portföyünde yalnızca Türk lirası cinsinden varlıklar ve işlemler yer alacaktır. Fon portföyünde yabancı para birimi cinsinden varlık ve altın ile diğer kıymetli madenler ve bunlara dayalı sermaye piyasası araçları bulunmayacaktır. Ayrıca, fon portföyünde yabancı para birimi cinsinden varlık ve altın ile diğer kıymetli madenler ve bunlara dayalı sermaye piyasası araçlarına yönelik organize ve tezgahüstü türev araçlara yer verilmeyecektir.</w:t>
      </w:r>
    </w:p>
    <w:p w14:paraId="14B3FB0E" w14:textId="77777777" w:rsidR="009879A3" w:rsidRDefault="009879A3" w:rsidP="00A514AB">
      <w:pPr>
        <w:ind w:firstLine="708"/>
      </w:pPr>
    </w:p>
    <w:p w14:paraId="38FA1B43" w14:textId="74B9BDD1" w:rsidR="0076572C" w:rsidRDefault="009B5D3C" w:rsidP="00A514AB">
      <w:pPr>
        <w:ind w:firstLine="708"/>
      </w:pPr>
      <w:r>
        <w:t xml:space="preserve">Yatırım yapılacak sermaye piyasası araçlarının seçiminde, risk/getiri değerlendirmeleri sonucunda belirlenenler ve nakde dönüşümü kolay olanlar tercih edilir. </w:t>
      </w:r>
    </w:p>
    <w:p w14:paraId="0237EE60" w14:textId="77777777" w:rsidR="009879A3" w:rsidRDefault="009879A3" w:rsidP="00B233A8">
      <w:pPr>
        <w:pStyle w:val="ListParagraph"/>
        <w:tabs>
          <w:tab w:val="left" w:pos="426"/>
        </w:tabs>
        <w:ind w:left="0" w:firstLine="709"/>
        <w:contextualSpacing/>
      </w:pPr>
    </w:p>
    <w:p w14:paraId="2FB50F0E" w14:textId="4007B1AC" w:rsidR="00B233A8" w:rsidRDefault="00B233A8" w:rsidP="00B233A8">
      <w:pPr>
        <w:pStyle w:val="ListParagraph"/>
        <w:tabs>
          <w:tab w:val="left" w:pos="426"/>
        </w:tabs>
        <w:ind w:left="0" w:firstLine="709"/>
        <w:contextualSpacing/>
      </w:pPr>
      <w:r w:rsidRPr="0032355A">
        <w:t>Fon portföyüne alınacak finansal varlıklar Sermaye Piyasası Kurulu'nun düzenlemelerine ve bu izahnamede belirtilen esaslara uygun olarak seçilir ve portföy yöneticisi tarafından mevzuata uygun olarak yönetilir.</w:t>
      </w:r>
    </w:p>
    <w:p w14:paraId="500F51FE" w14:textId="77777777" w:rsidR="00965546" w:rsidRPr="00EC42EC" w:rsidRDefault="00965546" w:rsidP="00B233A8">
      <w:pPr>
        <w:pStyle w:val="ListParagraph"/>
        <w:tabs>
          <w:tab w:val="left" w:pos="426"/>
        </w:tabs>
        <w:ind w:left="0" w:firstLine="709"/>
        <w:contextualSpacing/>
      </w:pPr>
    </w:p>
    <w:p w14:paraId="76C9692B" w14:textId="7C4C93B3" w:rsidR="00B233A8" w:rsidRDefault="00B233A8" w:rsidP="00B233A8">
      <w:pPr>
        <w:pStyle w:val="3-NormalYaz"/>
        <w:ind w:firstLine="709"/>
        <w:rPr>
          <w:rFonts w:eastAsia="Times New Roman"/>
          <w:sz w:val="24"/>
          <w:szCs w:val="24"/>
        </w:rPr>
      </w:pPr>
      <w:r w:rsidRPr="00EC42EC">
        <w:rPr>
          <w:sz w:val="24"/>
          <w:szCs w:val="24"/>
        </w:rPr>
        <w:t xml:space="preserve">Yönetici tarafından, </w:t>
      </w:r>
      <w:r>
        <w:rPr>
          <w:sz w:val="24"/>
          <w:szCs w:val="24"/>
        </w:rPr>
        <w:t xml:space="preserve">fon toplam değeri esas alınarak, </w:t>
      </w:r>
      <w:r w:rsidRPr="00EC42EC">
        <w:rPr>
          <w:sz w:val="24"/>
          <w:szCs w:val="24"/>
        </w:rPr>
        <w:t xml:space="preserve">Fon </w:t>
      </w:r>
      <w:r w:rsidRPr="00EC42EC">
        <w:rPr>
          <w:rFonts w:eastAsia="Times New Roman"/>
          <w:sz w:val="24"/>
          <w:szCs w:val="24"/>
        </w:rPr>
        <w:t xml:space="preserve">portföyünde yer alabilecek varlık ve işlemler için belirlenmiş asgari ve azami sınırlamalar aşağıdaki tabloda gösterilmiştir. </w:t>
      </w:r>
    </w:p>
    <w:p w14:paraId="57607666" w14:textId="77777777" w:rsidR="001F0A9D" w:rsidRDefault="001F0A9D" w:rsidP="00B233A8">
      <w:pPr>
        <w:pStyle w:val="3-NormalYaz"/>
        <w:ind w:firstLine="709"/>
        <w:rPr>
          <w:rFonts w:eastAsia="Times New Roman"/>
          <w:sz w:val="24"/>
          <w:szCs w:val="24"/>
        </w:rPr>
      </w:pPr>
    </w:p>
    <w:tbl>
      <w:tblPr>
        <w:tblStyle w:val="TabloKlavuzu2"/>
        <w:tblW w:w="9639" w:type="dxa"/>
        <w:tblInd w:w="108" w:type="dxa"/>
        <w:tblLook w:val="01E0" w:firstRow="1" w:lastRow="1" w:firstColumn="1" w:lastColumn="1" w:noHBand="0" w:noVBand="0"/>
      </w:tblPr>
      <w:tblGrid>
        <w:gridCol w:w="7088"/>
        <w:gridCol w:w="1276"/>
        <w:gridCol w:w="1275"/>
      </w:tblGrid>
      <w:tr w:rsidR="001F0A9D" w:rsidRPr="00835E89" w14:paraId="012DF5ED" w14:textId="77777777" w:rsidTr="00B76A27">
        <w:tc>
          <w:tcPr>
            <w:tcW w:w="7088" w:type="dxa"/>
            <w:hideMark/>
          </w:tcPr>
          <w:p w14:paraId="318FE6E0" w14:textId="77777777" w:rsidR="001F0A9D" w:rsidRPr="00835E89" w:rsidRDefault="001F0A9D" w:rsidP="00B76A27">
            <w:pPr>
              <w:rPr>
                <w:b/>
              </w:rPr>
            </w:pPr>
            <w:r w:rsidRPr="00835E89">
              <w:rPr>
                <w:b/>
              </w:rPr>
              <w:t>VARLIK ve İŞLEM TÜRÜ</w:t>
            </w:r>
          </w:p>
        </w:tc>
        <w:tc>
          <w:tcPr>
            <w:tcW w:w="1276" w:type="dxa"/>
            <w:hideMark/>
          </w:tcPr>
          <w:p w14:paraId="7898EBA6" w14:textId="77777777" w:rsidR="001F0A9D" w:rsidRPr="00835E89" w:rsidRDefault="001F0A9D" w:rsidP="00B76A27">
            <w:pPr>
              <w:jc w:val="center"/>
              <w:rPr>
                <w:b/>
              </w:rPr>
            </w:pPr>
            <w:r w:rsidRPr="00835E89">
              <w:rPr>
                <w:b/>
              </w:rPr>
              <w:t>Asgari %</w:t>
            </w:r>
          </w:p>
        </w:tc>
        <w:tc>
          <w:tcPr>
            <w:tcW w:w="1275" w:type="dxa"/>
            <w:hideMark/>
          </w:tcPr>
          <w:p w14:paraId="1D953C10" w14:textId="77777777" w:rsidR="001F0A9D" w:rsidRPr="00835E89" w:rsidRDefault="001F0A9D" w:rsidP="00B76A27">
            <w:pPr>
              <w:jc w:val="center"/>
              <w:rPr>
                <w:b/>
              </w:rPr>
            </w:pPr>
            <w:r w:rsidRPr="00835E89">
              <w:rPr>
                <w:b/>
              </w:rPr>
              <w:t>Azami %</w:t>
            </w:r>
          </w:p>
        </w:tc>
      </w:tr>
      <w:tr w:rsidR="001F0A9D" w:rsidRPr="00835E89" w14:paraId="0D7FD63F" w14:textId="77777777" w:rsidTr="00B76A27">
        <w:tc>
          <w:tcPr>
            <w:tcW w:w="7088" w:type="dxa"/>
            <w:hideMark/>
          </w:tcPr>
          <w:p w14:paraId="5B403CD8" w14:textId="77777777" w:rsidR="001F0A9D" w:rsidRPr="00835E89" w:rsidRDefault="001F0A9D" w:rsidP="00B76A27">
            <w:pPr>
              <w:rPr>
                <w:b/>
                <w:bCs/>
              </w:rPr>
            </w:pPr>
            <w:r w:rsidRPr="00835E89">
              <w:t xml:space="preserve">Yurtiçi Ortaklık Payları ve Ortaklık </w:t>
            </w:r>
            <w:r w:rsidRPr="00835E89">
              <w:rPr>
                <w:color w:val="000000"/>
              </w:rPr>
              <w:t xml:space="preserve">Paylarından Oluşan Endeksleri Takip Etmek Üzere Kurulan </w:t>
            </w:r>
            <w:r>
              <w:rPr>
                <w:color w:val="000000"/>
              </w:rPr>
              <w:t xml:space="preserve">ve unvanında (TL) ibaresi bulunan </w:t>
            </w:r>
            <w:r w:rsidRPr="00835E89">
              <w:rPr>
                <w:color w:val="000000"/>
              </w:rPr>
              <w:t>Borsa Yatırım Fonu Katılma Payları</w:t>
            </w:r>
            <w:r>
              <w:rPr>
                <w:color w:val="000000"/>
              </w:rPr>
              <w:t xml:space="preserve"> </w:t>
            </w:r>
          </w:p>
        </w:tc>
        <w:tc>
          <w:tcPr>
            <w:tcW w:w="1276" w:type="dxa"/>
          </w:tcPr>
          <w:p w14:paraId="4A6B09B4" w14:textId="77777777" w:rsidR="001F0A9D" w:rsidRPr="00835E89" w:rsidRDefault="001F0A9D" w:rsidP="00B76A27">
            <w:pPr>
              <w:jc w:val="center"/>
            </w:pPr>
            <w:r w:rsidRPr="00835E89">
              <w:t>80</w:t>
            </w:r>
          </w:p>
        </w:tc>
        <w:tc>
          <w:tcPr>
            <w:tcW w:w="1275" w:type="dxa"/>
          </w:tcPr>
          <w:p w14:paraId="07601E87" w14:textId="77777777" w:rsidR="001F0A9D" w:rsidRPr="00835E89" w:rsidRDefault="001F0A9D" w:rsidP="00B76A27">
            <w:pPr>
              <w:jc w:val="center"/>
            </w:pPr>
            <w:r w:rsidRPr="00835E89">
              <w:t>100</w:t>
            </w:r>
          </w:p>
        </w:tc>
      </w:tr>
      <w:tr w:rsidR="001F0A9D" w:rsidRPr="00835E89" w14:paraId="77C5ABC3" w14:textId="77777777" w:rsidTr="00B76A27">
        <w:tc>
          <w:tcPr>
            <w:tcW w:w="7088" w:type="dxa"/>
            <w:hideMark/>
          </w:tcPr>
          <w:p w14:paraId="7C4AE103" w14:textId="77777777" w:rsidR="001F0A9D" w:rsidRPr="00835E89" w:rsidRDefault="001F0A9D" w:rsidP="00B76A27">
            <w:pPr>
              <w:rPr>
                <w:b/>
                <w:bCs/>
              </w:rPr>
            </w:pPr>
            <w:r w:rsidRPr="00835E89">
              <w:t xml:space="preserve">Kamu ve Özel Sektör Borçlanma Araçları </w:t>
            </w:r>
            <w:r>
              <w:rPr>
                <w:b/>
                <w:bCs/>
              </w:rPr>
              <w:t>(TL)</w:t>
            </w:r>
          </w:p>
        </w:tc>
        <w:tc>
          <w:tcPr>
            <w:tcW w:w="1276" w:type="dxa"/>
          </w:tcPr>
          <w:p w14:paraId="5FA71DC9" w14:textId="77777777" w:rsidR="001F0A9D" w:rsidRPr="00835E89" w:rsidRDefault="001F0A9D" w:rsidP="00B76A27">
            <w:pPr>
              <w:jc w:val="center"/>
            </w:pPr>
            <w:r w:rsidRPr="00835E89">
              <w:t>0</w:t>
            </w:r>
          </w:p>
        </w:tc>
        <w:tc>
          <w:tcPr>
            <w:tcW w:w="1275" w:type="dxa"/>
          </w:tcPr>
          <w:p w14:paraId="292E7EDD" w14:textId="77777777" w:rsidR="001F0A9D" w:rsidRPr="00835E89" w:rsidRDefault="001F0A9D" w:rsidP="00B76A27">
            <w:pPr>
              <w:jc w:val="center"/>
            </w:pPr>
            <w:r w:rsidRPr="00835E89">
              <w:t>20</w:t>
            </w:r>
          </w:p>
        </w:tc>
      </w:tr>
      <w:tr w:rsidR="001F0A9D" w:rsidRPr="00835E89" w14:paraId="629E932E" w14:textId="77777777" w:rsidTr="00B76A27">
        <w:tc>
          <w:tcPr>
            <w:tcW w:w="7088" w:type="dxa"/>
            <w:hideMark/>
          </w:tcPr>
          <w:p w14:paraId="755B62FB" w14:textId="77777777" w:rsidR="001F0A9D" w:rsidRPr="00835E89" w:rsidRDefault="001F0A9D" w:rsidP="00B76A27">
            <w:r w:rsidRPr="00835E89">
              <w:t xml:space="preserve">Mevduat ve Katılma Hesapları </w:t>
            </w:r>
            <w:r w:rsidRPr="00835E89">
              <w:rPr>
                <w:b/>
                <w:bCs/>
              </w:rPr>
              <w:t>(TL)</w:t>
            </w:r>
          </w:p>
        </w:tc>
        <w:tc>
          <w:tcPr>
            <w:tcW w:w="1276" w:type="dxa"/>
          </w:tcPr>
          <w:p w14:paraId="4DF11CDC" w14:textId="77777777" w:rsidR="001F0A9D" w:rsidRPr="00835E89" w:rsidRDefault="001F0A9D" w:rsidP="00B76A27">
            <w:pPr>
              <w:jc w:val="center"/>
            </w:pPr>
            <w:r w:rsidRPr="00835E89">
              <w:t>0</w:t>
            </w:r>
          </w:p>
        </w:tc>
        <w:tc>
          <w:tcPr>
            <w:tcW w:w="1275" w:type="dxa"/>
          </w:tcPr>
          <w:p w14:paraId="35ED107E" w14:textId="77777777" w:rsidR="001F0A9D" w:rsidRPr="00835E89" w:rsidRDefault="001F0A9D" w:rsidP="00B76A27">
            <w:pPr>
              <w:jc w:val="center"/>
            </w:pPr>
            <w:r w:rsidRPr="00835E89">
              <w:t>10</w:t>
            </w:r>
          </w:p>
        </w:tc>
      </w:tr>
      <w:tr w:rsidR="001F0A9D" w:rsidRPr="00835E89" w14:paraId="058B2CE3" w14:textId="77777777" w:rsidTr="00B76A27">
        <w:tc>
          <w:tcPr>
            <w:tcW w:w="7088" w:type="dxa"/>
            <w:hideMark/>
          </w:tcPr>
          <w:p w14:paraId="78812AA4" w14:textId="77777777" w:rsidR="001F0A9D" w:rsidRPr="00835E89" w:rsidRDefault="001F0A9D" w:rsidP="00B76A27">
            <w:pPr>
              <w:rPr>
                <w:b/>
                <w:bCs/>
              </w:rPr>
            </w:pPr>
            <w:r w:rsidRPr="00835E89">
              <w:t>Ters Repo İşlemleri (Borsa)</w:t>
            </w:r>
            <w:r>
              <w:t xml:space="preserve"> </w:t>
            </w:r>
          </w:p>
        </w:tc>
        <w:tc>
          <w:tcPr>
            <w:tcW w:w="1276" w:type="dxa"/>
          </w:tcPr>
          <w:p w14:paraId="0E4DDB1B" w14:textId="77777777" w:rsidR="001F0A9D" w:rsidRPr="00835E89" w:rsidRDefault="001F0A9D" w:rsidP="00B76A27">
            <w:pPr>
              <w:jc w:val="center"/>
            </w:pPr>
            <w:r w:rsidRPr="00835E89">
              <w:t>0</w:t>
            </w:r>
          </w:p>
        </w:tc>
        <w:tc>
          <w:tcPr>
            <w:tcW w:w="1275" w:type="dxa"/>
          </w:tcPr>
          <w:p w14:paraId="5BDB424B" w14:textId="77777777" w:rsidR="001F0A9D" w:rsidRPr="00835E89" w:rsidRDefault="001F0A9D" w:rsidP="00B76A27">
            <w:pPr>
              <w:jc w:val="center"/>
            </w:pPr>
            <w:r w:rsidRPr="00835E89">
              <w:t>20</w:t>
            </w:r>
          </w:p>
        </w:tc>
      </w:tr>
      <w:tr w:rsidR="001F0A9D" w:rsidRPr="00835E89" w14:paraId="7395398E" w14:textId="77777777" w:rsidTr="00B76A27">
        <w:tc>
          <w:tcPr>
            <w:tcW w:w="7088" w:type="dxa"/>
            <w:hideMark/>
          </w:tcPr>
          <w:p w14:paraId="4745BAAF" w14:textId="77777777" w:rsidR="001F0A9D" w:rsidRPr="00835E89" w:rsidRDefault="001F0A9D" w:rsidP="00B76A27">
            <w:pPr>
              <w:rPr>
                <w:b/>
                <w:bCs/>
              </w:rPr>
            </w:pPr>
            <w:r w:rsidRPr="00835E89">
              <w:lastRenderedPageBreak/>
              <w:t>Takasbank Para Piyasası İşlemleri</w:t>
            </w:r>
            <w:r>
              <w:t xml:space="preserve"> </w:t>
            </w:r>
          </w:p>
        </w:tc>
        <w:tc>
          <w:tcPr>
            <w:tcW w:w="1276" w:type="dxa"/>
          </w:tcPr>
          <w:p w14:paraId="5917AA95" w14:textId="77777777" w:rsidR="001F0A9D" w:rsidRPr="00835E89" w:rsidRDefault="001F0A9D" w:rsidP="00B76A27">
            <w:pPr>
              <w:jc w:val="center"/>
            </w:pPr>
            <w:r w:rsidRPr="00835E89">
              <w:t>0</w:t>
            </w:r>
          </w:p>
        </w:tc>
        <w:tc>
          <w:tcPr>
            <w:tcW w:w="1275" w:type="dxa"/>
          </w:tcPr>
          <w:p w14:paraId="7BF7FC41" w14:textId="77777777" w:rsidR="001F0A9D" w:rsidRPr="00835E89" w:rsidRDefault="001F0A9D" w:rsidP="00B76A27">
            <w:pPr>
              <w:jc w:val="center"/>
            </w:pPr>
            <w:r w:rsidRPr="00835E89">
              <w:t>20</w:t>
            </w:r>
          </w:p>
        </w:tc>
      </w:tr>
      <w:tr w:rsidR="001F0A9D" w:rsidRPr="00835E89" w14:paraId="1F1124B4" w14:textId="77777777" w:rsidTr="00B76A27">
        <w:tc>
          <w:tcPr>
            <w:tcW w:w="7088" w:type="dxa"/>
          </w:tcPr>
          <w:p w14:paraId="3ECDE4D0" w14:textId="77777777" w:rsidR="001F0A9D" w:rsidRPr="00835E89" w:rsidRDefault="001F0A9D" w:rsidP="00B76A27">
            <w:pPr>
              <w:rPr>
                <w:b/>
                <w:bCs/>
              </w:rPr>
            </w:pPr>
            <w:r w:rsidRPr="00835E89">
              <w:t>Kira Sertifikaları</w:t>
            </w:r>
            <w:r>
              <w:t xml:space="preserve"> </w:t>
            </w:r>
            <w:r>
              <w:rPr>
                <w:b/>
                <w:bCs/>
              </w:rPr>
              <w:t>(TL)</w:t>
            </w:r>
          </w:p>
        </w:tc>
        <w:tc>
          <w:tcPr>
            <w:tcW w:w="1276" w:type="dxa"/>
          </w:tcPr>
          <w:p w14:paraId="7BCFCC83" w14:textId="77777777" w:rsidR="001F0A9D" w:rsidRPr="00835E89" w:rsidRDefault="001F0A9D" w:rsidP="00B76A27">
            <w:pPr>
              <w:jc w:val="center"/>
            </w:pPr>
            <w:r w:rsidRPr="00835E89">
              <w:t>0</w:t>
            </w:r>
          </w:p>
        </w:tc>
        <w:tc>
          <w:tcPr>
            <w:tcW w:w="1275" w:type="dxa"/>
          </w:tcPr>
          <w:p w14:paraId="6DE5AC55" w14:textId="77777777" w:rsidR="001F0A9D" w:rsidRPr="00835E89" w:rsidRDefault="001F0A9D" w:rsidP="00B76A27">
            <w:pPr>
              <w:jc w:val="center"/>
            </w:pPr>
            <w:r w:rsidRPr="00835E89">
              <w:t>20</w:t>
            </w:r>
          </w:p>
        </w:tc>
      </w:tr>
      <w:tr w:rsidR="001F0A9D" w:rsidRPr="00835E89" w14:paraId="08E8976C" w14:textId="77777777" w:rsidTr="00B76A27">
        <w:tc>
          <w:tcPr>
            <w:tcW w:w="7088" w:type="dxa"/>
            <w:hideMark/>
          </w:tcPr>
          <w:p w14:paraId="6FB9CF8D" w14:textId="77777777" w:rsidR="001F0A9D" w:rsidRPr="00835E89" w:rsidRDefault="001F0A9D" w:rsidP="00B76A27">
            <w:r w:rsidRPr="00EE4728">
              <w:rPr>
                <w:b/>
              </w:rPr>
              <w:t xml:space="preserve">Yurt İçinde Kurulmuş Girişim Sermayesi Yatırım Fonları ile unvanında </w:t>
            </w:r>
            <w:r>
              <w:rPr>
                <w:b/>
              </w:rPr>
              <w:t>(</w:t>
            </w:r>
            <w:r w:rsidRPr="00EE4728">
              <w:rPr>
                <w:b/>
              </w:rPr>
              <w:t>TL</w:t>
            </w:r>
            <w:r>
              <w:rPr>
                <w:b/>
              </w:rPr>
              <w:t>)</w:t>
            </w:r>
            <w:r w:rsidRPr="00EE4728">
              <w:rPr>
                <w:b/>
              </w:rPr>
              <w:t xml:space="preserve"> ibaresi bulunan</w:t>
            </w:r>
            <w:r w:rsidRPr="00591486">
              <w:t xml:space="preserve"> </w:t>
            </w:r>
            <w:r w:rsidRPr="00835E89">
              <w:t xml:space="preserve">Yatırım Fonu Katılma Payları, </w:t>
            </w:r>
            <w:r>
              <w:t xml:space="preserve">ve </w:t>
            </w:r>
            <w:r w:rsidRPr="00835E89">
              <w:t xml:space="preserve">Yatırım Ortaklıklarının Payları </w:t>
            </w:r>
          </w:p>
        </w:tc>
        <w:tc>
          <w:tcPr>
            <w:tcW w:w="1276" w:type="dxa"/>
          </w:tcPr>
          <w:p w14:paraId="465C3CF9" w14:textId="77777777" w:rsidR="001F0A9D" w:rsidRPr="00835E89" w:rsidRDefault="001F0A9D" w:rsidP="00B76A27">
            <w:pPr>
              <w:jc w:val="center"/>
            </w:pPr>
            <w:r w:rsidRPr="00835E89">
              <w:t>0</w:t>
            </w:r>
          </w:p>
        </w:tc>
        <w:tc>
          <w:tcPr>
            <w:tcW w:w="1275" w:type="dxa"/>
          </w:tcPr>
          <w:p w14:paraId="5B9BF3E6" w14:textId="77777777" w:rsidR="001F0A9D" w:rsidRPr="00835E89" w:rsidRDefault="001F0A9D" w:rsidP="00B76A27">
            <w:pPr>
              <w:jc w:val="center"/>
            </w:pPr>
            <w:r w:rsidRPr="00835E89">
              <w:t>20</w:t>
            </w:r>
          </w:p>
        </w:tc>
      </w:tr>
    </w:tbl>
    <w:p w14:paraId="27D4860B" w14:textId="77777777" w:rsidR="00B233A8" w:rsidRPr="00EC42EC" w:rsidRDefault="00B233A8" w:rsidP="00B233A8"/>
    <w:p w14:paraId="653DF02F" w14:textId="77777777" w:rsidR="001F0A9D" w:rsidRPr="00E442A8" w:rsidRDefault="001F0A9D" w:rsidP="001F0A9D">
      <w:pPr>
        <w:ind w:firstLine="709"/>
      </w:pPr>
      <w:r w:rsidRPr="00E442A8">
        <w:t>Türkiye’de kurulu tek bir borsa yatırım fonunun katılma paylarına yapılan yatırım tutarı fon toplam değerinin %20’sini aşamaz.</w:t>
      </w:r>
    </w:p>
    <w:p w14:paraId="7C37564D" w14:textId="77777777" w:rsidR="001F0A9D" w:rsidRDefault="001F0A9D" w:rsidP="00B233A8">
      <w:pPr>
        <w:ind w:firstLine="709"/>
      </w:pPr>
    </w:p>
    <w:p w14:paraId="742918D2" w14:textId="5340E8FF" w:rsidR="00B233A8" w:rsidRDefault="00B233A8" w:rsidP="00B233A8">
      <w:pPr>
        <w:ind w:firstLine="709"/>
        <w:rPr>
          <w:rFonts w:cs="Verdana"/>
          <w:bCs/>
          <w:color w:val="000000"/>
        </w:rPr>
      </w:pPr>
      <w:r>
        <w:t xml:space="preserve">Fon, Kurulun ilgili düzenlemeleri çerçevesinde yapılacak bir sözleşme ile herhangi bir anda portföydeki sermaye piyasası araçlarının piyasa değerinin en fazla </w:t>
      </w:r>
      <w:r w:rsidR="00E13C9C">
        <w:t>%50</w:t>
      </w:r>
      <w:r>
        <w:t>’si tutarında sermaye piyasası araçlarını ödünç verebilir.</w:t>
      </w:r>
      <w:r w:rsidRPr="00535D97">
        <w:rPr>
          <w:rFonts w:cs="Verdana"/>
          <w:bCs/>
          <w:color w:val="000000"/>
        </w:rPr>
        <w:t xml:space="preserve"> </w:t>
      </w:r>
    </w:p>
    <w:p w14:paraId="2B1A9FFF" w14:textId="4DE645F7" w:rsidR="00672296" w:rsidRDefault="00672296" w:rsidP="00B233A8">
      <w:pPr>
        <w:ind w:firstLine="709"/>
        <w:rPr>
          <w:rFonts w:cs="Verdana"/>
          <w:bCs/>
          <w:color w:val="000000"/>
        </w:rPr>
      </w:pPr>
    </w:p>
    <w:p w14:paraId="7FA21A7C" w14:textId="7C934369" w:rsidR="00672296" w:rsidRDefault="00672296" w:rsidP="00672296">
      <w:pPr>
        <w:ind w:firstLine="709"/>
        <w:rPr>
          <w:rFonts w:cs="Verdana"/>
          <w:bCs/>
          <w:color w:val="000000"/>
        </w:rPr>
      </w:pPr>
      <w:r w:rsidRPr="00672296">
        <w:rPr>
          <w:rFonts w:cs="Verdana"/>
          <w:bCs/>
          <w:color w:val="000000"/>
        </w:rPr>
        <w:t xml:space="preserve">Fon portföylerinde yer alan repo işlemine konu olabilecek varlıkların rayiç değerinin %10’una kadar repo yapılabilir. </w:t>
      </w:r>
    </w:p>
    <w:p w14:paraId="02475DBC" w14:textId="77777777" w:rsidR="00327E44" w:rsidRPr="00672296" w:rsidRDefault="00327E44" w:rsidP="00672296">
      <w:pPr>
        <w:ind w:firstLine="709"/>
        <w:rPr>
          <w:rFonts w:cs="Verdana"/>
          <w:bCs/>
          <w:color w:val="000000"/>
        </w:rPr>
      </w:pPr>
    </w:p>
    <w:p w14:paraId="16170580" w14:textId="08DEF412" w:rsidR="00672296" w:rsidRPr="00535D97" w:rsidRDefault="00672296" w:rsidP="00672296">
      <w:pPr>
        <w:ind w:firstLine="709"/>
        <w:rPr>
          <w:rFonts w:cs="Verdana"/>
          <w:bCs/>
          <w:color w:val="000000"/>
        </w:rPr>
      </w:pPr>
      <w:r w:rsidRPr="00672296">
        <w:rPr>
          <w:rFonts w:cs="Verdana"/>
          <w:bCs/>
          <w:color w:val="000000"/>
        </w:rPr>
        <w:t xml:space="preserve">Borsa dışı işlemlerin yapılması halinde en geç işlem tarihini takip eden işgünü içinde işlemin tutarı, faizi, tarihi ve karşı taraf ile geri ödeneceği tarihi </w:t>
      </w:r>
      <w:proofErr w:type="spellStart"/>
      <w:r w:rsidRPr="00672296">
        <w:rPr>
          <w:rFonts w:cs="Verdana"/>
          <w:bCs/>
          <w:color w:val="000000"/>
        </w:rPr>
        <w:t>KAP’ta</w:t>
      </w:r>
      <w:proofErr w:type="spellEnd"/>
      <w:r w:rsidRPr="00672296">
        <w:rPr>
          <w:rFonts w:cs="Verdana"/>
          <w:bCs/>
          <w:color w:val="000000"/>
        </w:rPr>
        <w:t xml:space="preserve"> açıklanır ve Kurula bildirilir.</w:t>
      </w:r>
    </w:p>
    <w:p w14:paraId="67AA2F37" w14:textId="77777777" w:rsidR="00B233A8" w:rsidRDefault="00B233A8" w:rsidP="00B233A8">
      <w:pPr>
        <w:ind w:firstLine="709"/>
        <w:rPr>
          <w:rFonts w:cs="Verdana"/>
          <w:b/>
          <w:bCs/>
          <w:color w:val="000000"/>
        </w:rPr>
      </w:pPr>
    </w:p>
    <w:p w14:paraId="06E245CC" w14:textId="300FB4F9" w:rsidR="00B233A8" w:rsidRPr="0069125B" w:rsidRDefault="00B233A8" w:rsidP="00B233A8">
      <w:pPr>
        <w:ind w:firstLine="709"/>
        <w:rPr>
          <w:rFonts w:cs="Verdana"/>
          <w:bCs/>
          <w:color w:val="000000"/>
        </w:rPr>
      </w:pPr>
      <w:r w:rsidRPr="0069125B">
        <w:rPr>
          <w:rFonts w:cs="Verdana"/>
          <w:b/>
          <w:bCs/>
          <w:color w:val="000000"/>
        </w:rPr>
        <w:t>2.</w:t>
      </w:r>
      <w:r w:rsidR="00030F33">
        <w:rPr>
          <w:rFonts w:cs="Verdana"/>
          <w:b/>
          <w:bCs/>
          <w:color w:val="000000"/>
        </w:rPr>
        <w:t>3</w:t>
      </w:r>
      <w:r w:rsidRPr="0069125B">
        <w:rPr>
          <w:rFonts w:cs="Verdana"/>
          <w:b/>
          <w:bCs/>
          <w:color w:val="000000"/>
        </w:rPr>
        <w:t xml:space="preserve">. </w:t>
      </w:r>
      <w:r w:rsidRPr="0069125B">
        <w:rPr>
          <w:rFonts w:cs="Verdana"/>
          <w:bCs/>
          <w:color w:val="000000"/>
        </w:rPr>
        <w:t>Fonun karşılaştırma ölçütü</w:t>
      </w:r>
      <w:r>
        <w:rPr>
          <w:rFonts w:cs="Verdana"/>
          <w:bCs/>
          <w:color w:val="000000"/>
        </w:rPr>
        <w:t xml:space="preserve"> %</w:t>
      </w:r>
      <w:r w:rsidR="00D7466A">
        <w:rPr>
          <w:rFonts w:cs="Verdana"/>
          <w:bCs/>
          <w:color w:val="000000"/>
        </w:rPr>
        <w:t>9</w:t>
      </w:r>
      <w:r w:rsidR="00FC2DA7">
        <w:rPr>
          <w:rFonts w:cs="Verdana"/>
          <w:bCs/>
          <w:color w:val="000000"/>
        </w:rPr>
        <w:t xml:space="preserve">0 </w:t>
      </w:r>
      <w:r>
        <w:rPr>
          <w:rFonts w:cs="Verdana"/>
          <w:bCs/>
          <w:color w:val="000000"/>
        </w:rPr>
        <w:t xml:space="preserve">BIST 100 Getiri Endeksi </w:t>
      </w:r>
      <w:r w:rsidR="00FC2DA7">
        <w:t xml:space="preserve">+ %10 </w:t>
      </w:r>
      <w:r w:rsidR="008F1E2D">
        <w:t>BIST-</w:t>
      </w:r>
      <w:r w:rsidR="00FC2DA7">
        <w:t xml:space="preserve">KYD Repo </w:t>
      </w:r>
      <w:r w:rsidR="0076572C">
        <w:t>(</w:t>
      </w:r>
      <w:r w:rsidR="00FC2DA7">
        <w:t>Brüt</w:t>
      </w:r>
      <w:r w:rsidR="0076572C">
        <w:t>)</w:t>
      </w:r>
      <w:r w:rsidR="00FC2DA7">
        <w:rPr>
          <w:rFonts w:cs="Verdana"/>
          <w:bCs/>
          <w:color w:val="000000"/>
        </w:rPr>
        <w:t xml:space="preserve"> </w:t>
      </w:r>
      <w:r w:rsidR="0076572C">
        <w:rPr>
          <w:rFonts w:cs="Verdana"/>
          <w:bCs/>
          <w:color w:val="000000"/>
        </w:rPr>
        <w:t xml:space="preserve">Endeksi </w:t>
      </w:r>
      <w:r>
        <w:rPr>
          <w:rFonts w:cs="Verdana"/>
          <w:bCs/>
          <w:color w:val="000000"/>
        </w:rPr>
        <w:t>olarak belirlenmiştir.</w:t>
      </w:r>
    </w:p>
    <w:p w14:paraId="319C5D68" w14:textId="77777777" w:rsidR="00B233A8" w:rsidRDefault="00B233A8" w:rsidP="00B233A8">
      <w:pPr>
        <w:ind w:firstLine="709"/>
        <w:rPr>
          <w:rFonts w:cs="Verdana"/>
          <w:b/>
          <w:bCs/>
          <w:color w:val="000000"/>
        </w:rPr>
      </w:pPr>
    </w:p>
    <w:p w14:paraId="56B81E65" w14:textId="0ED9EA61" w:rsidR="00B233A8" w:rsidRPr="001F0A9D" w:rsidRDefault="00B233A8" w:rsidP="00B233A8">
      <w:pPr>
        <w:ind w:firstLine="708"/>
        <w:rPr>
          <w:rFonts w:cs="Verdana"/>
          <w:bCs/>
          <w:color w:val="000000"/>
        </w:rPr>
      </w:pPr>
      <w:r w:rsidRPr="00EC42EC">
        <w:rPr>
          <w:rFonts w:cs="Verdana"/>
          <w:b/>
          <w:bCs/>
          <w:color w:val="000000"/>
        </w:rPr>
        <w:t>2.</w:t>
      </w:r>
      <w:r w:rsidR="00030F33">
        <w:rPr>
          <w:rFonts w:cs="Verdana"/>
          <w:b/>
          <w:bCs/>
          <w:color w:val="000000"/>
        </w:rPr>
        <w:t>4</w:t>
      </w:r>
      <w:r>
        <w:rPr>
          <w:rFonts w:cs="Verdana"/>
          <w:b/>
          <w:bCs/>
          <w:color w:val="000000"/>
        </w:rPr>
        <w:t xml:space="preserve">. </w:t>
      </w:r>
      <w:r w:rsidR="001F0A9D" w:rsidRPr="001F0A9D">
        <w:rPr>
          <w:rFonts w:cs="Verdana"/>
          <w:bCs/>
          <w:color w:val="000000"/>
        </w:rPr>
        <w:t xml:space="preserve">Portföye riskten korunma ve/veya yatırım amacıyla fonun yatırım stratejisine uygun olacak şekilde kaldıraç yaratan işlemlerden; faiz, ortaklık payı, ortaklık payı endeksleri, ve diğer sermaye piyasası araçlarına dayalı türev araçları (vadeli işlem ve opsiyon sözleşmeleri), saklı türev araç, swap sözleşmesi, varant, sertifika, ileri valörlü borçlanma araçları işlemleri dahil edilir. Şu kadar ki, kaldıraç yaratan işlemlerinin hiçbir tarafı yabancı para birimi cinsinden varlık ve altın ile diğer kıymetli madenler ve bunlara dayalı sermaye piyasası araçlarından oluşturulamaz.  </w:t>
      </w:r>
    </w:p>
    <w:p w14:paraId="7072EAB2" w14:textId="77777777" w:rsidR="00B233A8" w:rsidRDefault="00B233A8" w:rsidP="00B233A8">
      <w:pPr>
        <w:ind w:firstLine="709"/>
        <w:rPr>
          <w:rFonts w:cs="Verdana"/>
          <w:bCs/>
          <w:color w:val="000000"/>
        </w:rPr>
      </w:pPr>
    </w:p>
    <w:p w14:paraId="5BC6BBF8" w14:textId="212B9482" w:rsidR="00576E87" w:rsidRPr="00576E87" w:rsidRDefault="00B233A8" w:rsidP="00576E87">
      <w:pPr>
        <w:ind w:firstLine="709"/>
        <w:rPr>
          <w:rFonts w:cs="Verdana"/>
          <w:color w:val="000000"/>
        </w:rPr>
      </w:pPr>
      <w:r w:rsidRPr="006766E1">
        <w:rPr>
          <w:rFonts w:cs="Verdana"/>
          <w:b/>
          <w:bCs/>
          <w:color w:val="000000"/>
        </w:rPr>
        <w:t>2.</w:t>
      </w:r>
      <w:r w:rsidR="00030F33">
        <w:rPr>
          <w:rFonts w:cs="Verdana"/>
          <w:b/>
          <w:bCs/>
          <w:color w:val="000000"/>
        </w:rPr>
        <w:t>5</w:t>
      </w:r>
      <w:r w:rsidRPr="006766E1">
        <w:rPr>
          <w:rFonts w:cs="Verdana"/>
          <w:b/>
          <w:bCs/>
          <w:color w:val="000000"/>
        </w:rPr>
        <w:t>.</w:t>
      </w:r>
      <w:r>
        <w:rPr>
          <w:rFonts w:cs="Verdana"/>
          <w:b/>
          <w:bCs/>
          <w:color w:val="000000"/>
        </w:rPr>
        <w:t xml:space="preserve"> </w:t>
      </w:r>
      <w:r w:rsidR="00576E87" w:rsidRPr="00576E87">
        <w:rPr>
          <w:rFonts w:cs="Verdana"/>
          <w:color w:val="000000"/>
        </w:rPr>
        <w:t>Portföye borsa dışından Türk Lirası cinsi türev araç (vadeli işlem ve opsiyon), swap sözleşmeleri, repo ve ters repo sözleşmeleri dahil edilebilir. Borsa dışı sözleşmeler fonun yatırım stratejisine uygun olarak fon portföyüne dahil edilir. Sözleşmelerin karşı taraflarının yatırım yapılabilir derecelendirme notuna sahip olması, herhangi bir ilişkiden etkilenmeyecek şekilde objektif koşullarda yapılması ve adil bir fiyat içermesi ve fonun fiyat açıklama dönemlerinde gerçeğe uygun değeri üzerinden nakde dönüştürülebilir olması zorunludur. İşbu araç, sözleşme ve işlemlerin hiçbir tarafı yabancı para birimi cinsinden varlık ve altın ile diğer kıymetli madenler ve bunlara dayalı sermaye piyasası araçlarından oluşturulamaz.</w:t>
      </w:r>
    </w:p>
    <w:p w14:paraId="46B06781" w14:textId="77777777" w:rsidR="00576E87" w:rsidRDefault="00576E87" w:rsidP="00576E87">
      <w:pPr>
        <w:ind w:firstLine="709"/>
        <w:rPr>
          <w:rFonts w:cs="Verdana"/>
          <w:color w:val="000000"/>
        </w:rPr>
      </w:pPr>
    </w:p>
    <w:p w14:paraId="7225F733" w14:textId="63E0EB51" w:rsidR="00576E87" w:rsidRPr="00576E87" w:rsidRDefault="00576E87" w:rsidP="00576E87">
      <w:pPr>
        <w:ind w:firstLine="709"/>
        <w:rPr>
          <w:rFonts w:cs="Verdana"/>
          <w:color w:val="000000"/>
        </w:rPr>
      </w:pPr>
      <w:r w:rsidRPr="00576E87">
        <w:rPr>
          <w:rFonts w:cs="Verdana"/>
          <w:color w:val="000000"/>
        </w:rPr>
        <w:t xml:space="preserve">Ayrıca, borsa dışı repo/ters repo karşı tarafının denetime ve gözetime tabi finansal bir kurum (banka, aracı kurum </w:t>
      </w:r>
      <w:proofErr w:type="spellStart"/>
      <w:r w:rsidRPr="00576E87">
        <w:rPr>
          <w:rFonts w:cs="Verdana"/>
          <w:color w:val="000000"/>
        </w:rPr>
        <w:t>v.b</w:t>
      </w:r>
      <w:proofErr w:type="spellEnd"/>
      <w:r w:rsidRPr="00576E87">
        <w:rPr>
          <w:rFonts w:cs="Verdana"/>
          <w:color w:val="000000"/>
        </w:rPr>
        <w:t>.) olması ve fonun fiyat açıklama dönemlerinde “güvenir” ve “doğrulanabilir” bir yöntem ile değerlenmesi zorunludur.</w:t>
      </w:r>
    </w:p>
    <w:p w14:paraId="52693DDD" w14:textId="77777777" w:rsidR="00576E87" w:rsidRDefault="00576E87" w:rsidP="00576E87">
      <w:pPr>
        <w:ind w:firstLine="709"/>
        <w:rPr>
          <w:rFonts w:cs="Verdana"/>
          <w:color w:val="000000"/>
        </w:rPr>
      </w:pPr>
    </w:p>
    <w:p w14:paraId="35896520" w14:textId="787F9AF9" w:rsidR="00576E87" w:rsidRPr="00576E87" w:rsidRDefault="00576E87" w:rsidP="00576E87">
      <w:pPr>
        <w:ind w:firstLine="709"/>
        <w:rPr>
          <w:rFonts w:cs="Verdana"/>
          <w:color w:val="000000"/>
        </w:rPr>
      </w:pPr>
      <w:r w:rsidRPr="00576E87">
        <w:rPr>
          <w:rFonts w:cs="Verdana"/>
          <w:color w:val="000000"/>
        </w:rPr>
        <w:t>Portföye borsa dışından ters repo sözleşmeleri fon toplam değerinin en fazla %10’una kadar dahil edilir.</w:t>
      </w:r>
    </w:p>
    <w:p w14:paraId="3B17E57C" w14:textId="77777777" w:rsidR="00576E87" w:rsidRDefault="00576E87">
      <w:pPr>
        <w:ind w:firstLine="709"/>
        <w:rPr>
          <w:rFonts w:cs="Verdana"/>
          <w:b/>
          <w:bCs/>
          <w:color w:val="000000"/>
        </w:rPr>
      </w:pPr>
    </w:p>
    <w:p w14:paraId="3D0614D7" w14:textId="601955B5" w:rsidR="00B233A8" w:rsidRPr="00EC42EC" w:rsidRDefault="00B233A8" w:rsidP="00B233A8">
      <w:pPr>
        <w:ind w:firstLine="709"/>
        <w:rPr>
          <w:b/>
        </w:rPr>
      </w:pPr>
      <w:r w:rsidRPr="00EC42EC">
        <w:rPr>
          <w:b/>
        </w:rPr>
        <w:t>2.</w:t>
      </w:r>
      <w:r w:rsidR="00030F33">
        <w:rPr>
          <w:b/>
        </w:rPr>
        <w:t>6</w:t>
      </w:r>
      <w:r w:rsidRPr="00EC42EC">
        <w:rPr>
          <w:b/>
        </w:rPr>
        <w:t xml:space="preserve">. </w:t>
      </w:r>
      <w:r w:rsidRPr="00EC42EC">
        <w:t>Fon toplam değerinin %10</w:t>
      </w:r>
      <w:r w:rsidR="008C00C3">
        <w:t>’</w:t>
      </w:r>
      <w:r w:rsidRPr="00EC42EC">
        <w:t xml:space="preserve">unu geçmemek üzere, fon hesabına kredi alınabilir. Bu takdirde kredinin tutarı, faizi, alındığı tarih ve kredi alınan kuruluş ile geri ödeneceği tarih </w:t>
      </w:r>
      <w:proofErr w:type="spellStart"/>
      <w:r w:rsidRPr="00EC42EC">
        <w:t>KAP’ta</w:t>
      </w:r>
      <w:proofErr w:type="spellEnd"/>
      <w:r w:rsidRPr="00EC42EC">
        <w:t xml:space="preserve"> açıklanır ve Kurula bildirilir.</w:t>
      </w:r>
    </w:p>
    <w:p w14:paraId="2D5A59EB" w14:textId="77777777" w:rsidR="00B233A8" w:rsidRPr="00EC42EC" w:rsidRDefault="00B233A8" w:rsidP="00B233A8">
      <w:pPr>
        <w:ind w:firstLine="709"/>
      </w:pPr>
    </w:p>
    <w:p w14:paraId="16F5DEEE" w14:textId="7D490819" w:rsidR="008123B2" w:rsidRDefault="00B233A8" w:rsidP="008123B2">
      <w:pPr>
        <w:ind w:firstLine="708"/>
      </w:pPr>
      <w:r w:rsidRPr="00EC42EC">
        <w:rPr>
          <w:b/>
        </w:rPr>
        <w:t>2.</w:t>
      </w:r>
      <w:r w:rsidR="00030F33">
        <w:rPr>
          <w:b/>
        </w:rPr>
        <w:t>7</w:t>
      </w:r>
      <w:r w:rsidRPr="00EC42EC">
        <w:rPr>
          <w:b/>
        </w:rPr>
        <w:t>.</w:t>
      </w:r>
      <w:r w:rsidRPr="00EC42EC">
        <w:t xml:space="preserve"> </w:t>
      </w:r>
      <w:r w:rsidR="008123B2">
        <w:t xml:space="preserve">Fon portföyüne yapılandırılmış yatırım araçları dahil edilebilecek olup, yapılandırılmış yatırım araçlarının; Fon’un yatırım stratejisine ve risk yapısına uygun olması, borsada işlem görmesi, ihraççısının ve/veya varsa yatırım aracının, Fon Tebliği’nin 32'nci maddesinde belirtilen </w:t>
      </w:r>
      <w:r w:rsidR="008123B2">
        <w:lastRenderedPageBreak/>
        <w:t>derecelendirme notuna sahip olması, Türkiye’de ihraç edilmiş olması, ihraç belgesinin Kurulca onaylanmış olması, yetkilendirilmiş bir saklayıcı kuruluş nezdinde saklanması, fonun fiyat açıklama dönemlerinde Finansal Raporlama Tebliği düzenlemeleri çerçevesinde gerçeğe uygun değeri üzerinden nakde dönüştürülebilir nitelikte likiditeye sahip olması, fiyatın veri dağıtım kanalları vasıtasıyla ilan edilmesi, ihraççısının ve/veya varsa yatırım aracının, yatırım yapılabilir seviyeye denk gelen derecelendirme notuna sahip olması, derecelendirme notunu içeren belgelerin Kurucu nezdinde bulundurulması gereklidir.</w:t>
      </w:r>
    </w:p>
    <w:p w14:paraId="71761C96" w14:textId="77777777" w:rsidR="008123B2" w:rsidRDefault="008123B2" w:rsidP="008123B2">
      <w:pPr>
        <w:ind w:firstLine="708"/>
      </w:pPr>
    </w:p>
    <w:p w14:paraId="5B33954F" w14:textId="77777777" w:rsidR="008123B2" w:rsidRDefault="008123B2" w:rsidP="008123B2">
      <w:pPr>
        <w:ind w:firstLine="708"/>
      </w:pPr>
      <w:r>
        <w:t>Yapılandırılmış yatırım araçlarının dayanak varlıkları, özel sektör ve kamu borçlanma araçları, ortaklık payları, faiz ve finansal endekslerden oluşabilmekte olup, söz konusu dayanak varlıkların getirisi ile birlikte bir türev aracın kombinasyonundan oluşan yapılandırılmış yatırım araçları da portföye dahil edilebilecektir. İşbu dayanak varlıkları yabancı para birimi cinsinden varlık ve altın ile diğer kıymetli madenler ve bunlara dayalı sermaye piyasası araçlarından oluşturulamaz.</w:t>
      </w:r>
    </w:p>
    <w:p w14:paraId="64F3EA6A" w14:textId="77777777" w:rsidR="008123B2" w:rsidRDefault="008123B2" w:rsidP="008123B2">
      <w:pPr>
        <w:ind w:firstLine="708"/>
      </w:pPr>
    </w:p>
    <w:p w14:paraId="7C74C1DD" w14:textId="77777777" w:rsidR="008123B2" w:rsidRDefault="008123B2" w:rsidP="008123B2">
      <w:pPr>
        <w:ind w:firstLine="708"/>
      </w:pPr>
      <w:r>
        <w:t>Diğer taraftan, sadece Türkiye’de ihraç edilmiş yapılandırılmış yatırım araçlarının fon portföyüne alınabilecek olması sebebiyle, Kurul’un borçlanma araçlarına ilişkin düzenlemeleri çerçevesinde niteliği itibari ile borçlanma aracı olduğu kabul edilen sermaye piyasası araçlarından, yatırımcı tarafından ödenen bedelin tamamının geri ödeneceği taahhüdünü içeren özellikteki araçlar fon portföyüne dahil edilebilecektir.</w:t>
      </w:r>
    </w:p>
    <w:p w14:paraId="263E47ED" w14:textId="77777777" w:rsidR="008123B2" w:rsidRDefault="008123B2" w:rsidP="008123B2">
      <w:pPr>
        <w:ind w:firstLine="708"/>
      </w:pPr>
    </w:p>
    <w:p w14:paraId="3E5A26B0" w14:textId="77777777" w:rsidR="008123B2" w:rsidRDefault="008123B2" w:rsidP="008123B2">
      <w:pPr>
        <w:ind w:firstLine="708"/>
      </w:pPr>
      <w:r>
        <w:t>Yapılandırılmış yatırım araçlarının getirisi temelde ihraç edilecek bir borçlanma aracının getirisine dayalı olmakta ve yatırım yapılan dayanak varlığın riski doğrultusunda getiri sunabilmektedir.</w:t>
      </w:r>
    </w:p>
    <w:p w14:paraId="238B14BE" w14:textId="77777777" w:rsidR="008123B2" w:rsidRDefault="008123B2" w:rsidP="008123B2">
      <w:pPr>
        <w:ind w:firstLine="708"/>
      </w:pPr>
    </w:p>
    <w:p w14:paraId="51579E16" w14:textId="29A77898" w:rsidR="008F5CA5" w:rsidRPr="00A514AB" w:rsidRDefault="008123B2" w:rsidP="008123B2">
      <w:pPr>
        <w:ind w:firstLine="708"/>
        <w:rPr>
          <w:sz w:val="23"/>
          <w:szCs w:val="23"/>
        </w:rPr>
      </w:pPr>
      <w:r>
        <w:t xml:space="preserve">Portföye yapılandırılmış yatırım aracı alınması halinde söz konusu yapılandırılmış yatırım araçlarının genel özelliklerine ilişkin bilgiler ve içerdiği muhtemel riskler ayrıca </w:t>
      </w:r>
      <w:proofErr w:type="spellStart"/>
      <w:r>
        <w:t>KAP’ta</w:t>
      </w:r>
      <w:proofErr w:type="spellEnd"/>
      <w:r>
        <w:t xml:space="preserve"> açıklanır.</w:t>
      </w:r>
    </w:p>
    <w:p w14:paraId="674FEBDD" w14:textId="2B201139" w:rsidR="00B233A8" w:rsidRPr="00EC42EC" w:rsidRDefault="00B233A8" w:rsidP="00A514AB">
      <w:pPr>
        <w:ind w:firstLine="708"/>
      </w:pPr>
    </w:p>
    <w:p w14:paraId="00187579" w14:textId="77777777" w:rsidR="00B233A8" w:rsidRPr="00EC42EC" w:rsidRDefault="00B233A8" w:rsidP="00B233A8">
      <w:pPr>
        <w:ind w:firstLine="709"/>
        <w:rPr>
          <w:b/>
        </w:rPr>
      </w:pPr>
      <w:r w:rsidRPr="00EC42EC">
        <w:rPr>
          <w:b/>
        </w:rPr>
        <w:t>III. TEMEL YATIRIM RİSKLERİ VE RİSKLERİN ÖLÇÜMÜ</w:t>
      </w:r>
    </w:p>
    <w:p w14:paraId="455F63EB" w14:textId="77777777" w:rsidR="00B233A8" w:rsidRPr="00EC42EC" w:rsidRDefault="00B233A8" w:rsidP="00B233A8">
      <w:pPr>
        <w:ind w:firstLine="709"/>
      </w:pPr>
    </w:p>
    <w:p w14:paraId="77891AB7" w14:textId="77777777" w:rsidR="00B233A8" w:rsidRPr="00EC42EC" w:rsidRDefault="00B233A8" w:rsidP="00B233A8">
      <w:pPr>
        <w:ind w:firstLine="709"/>
      </w:pPr>
      <w:r w:rsidRPr="00EC42EC">
        <w:t>Yatırımcılar Fon’a yatırım yapmadan önce Fon’la ilgili temel yatırım risklerini değerlendirmelidirler. Fon’un maruz kalabileceği temel risklerden kaynaklanabilecek değişimler sonucunda Fon birim pay fiyatındaki olası düşüşlere bağlı olarak yatırımlarının değerinin başlangıç değerinin altına düşebileceğini yatırımcılar göz önünde bulundurmalıdır.</w:t>
      </w:r>
    </w:p>
    <w:p w14:paraId="61D2DEFB" w14:textId="77777777" w:rsidR="00B233A8" w:rsidRPr="00EC42EC" w:rsidRDefault="00B233A8" w:rsidP="00B233A8">
      <w:pPr>
        <w:ind w:firstLine="709"/>
      </w:pPr>
    </w:p>
    <w:p w14:paraId="71C130CD" w14:textId="084187BC" w:rsidR="00B233A8" w:rsidRPr="00EC42EC" w:rsidRDefault="00B233A8" w:rsidP="00B233A8">
      <w:pPr>
        <w:ind w:firstLine="709"/>
        <w:rPr>
          <w:b/>
        </w:rPr>
      </w:pPr>
      <w:r w:rsidRPr="00EC42EC">
        <w:rPr>
          <w:b/>
        </w:rPr>
        <w:t>3.1. Fonun maruz kalabileceği riskler şunlardır:</w:t>
      </w:r>
    </w:p>
    <w:p w14:paraId="2EC3C7CD" w14:textId="3E54A979" w:rsidR="006E1196" w:rsidRDefault="006E1196" w:rsidP="00A514AB"/>
    <w:p w14:paraId="47F24EA7" w14:textId="1412157A" w:rsidR="008123B2" w:rsidRPr="006071AA" w:rsidRDefault="008123B2" w:rsidP="008123B2">
      <w:pPr>
        <w:ind w:firstLine="709"/>
      </w:pPr>
      <w:r w:rsidRPr="006071AA">
        <w:rPr>
          <w:b/>
        </w:rPr>
        <w:t>1) Piyasa Riski:</w:t>
      </w:r>
      <w:r w:rsidRPr="006071AA">
        <w:t xml:space="preserve"> Piyasa riski ile borçlanmayı temsil eden finansal araçların, ortaklık paylarının, diğer menkul kıymetlerin, </w:t>
      </w:r>
      <w:r w:rsidRPr="008123B2">
        <w:t>faiz oranları ve ortaklık payı fiyatlarındaki dalgalanmalar</w:t>
      </w:r>
      <w:r w:rsidRPr="006071AA">
        <w:t xml:space="preserve"> nedeniyle meydana gelebilecek zarar riski ifade edilmektedir. Söz konusu risklerin detaylarına aşağıda yer verilmektedir: </w:t>
      </w:r>
    </w:p>
    <w:p w14:paraId="35C03FB9" w14:textId="77777777" w:rsidR="008123B2" w:rsidRPr="006071AA" w:rsidRDefault="008123B2" w:rsidP="008123B2">
      <w:pPr>
        <w:ind w:firstLine="709"/>
      </w:pPr>
    </w:p>
    <w:p w14:paraId="2B597AFE" w14:textId="77777777" w:rsidR="008123B2" w:rsidRPr="006071AA" w:rsidRDefault="008123B2" w:rsidP="008123B2">
      <w:pPr>
        <w:ind w:left="708" w:firstLine="1"/>
      </w:pPr>
      <w:r w:rsidRPr="006071AA">
        <w:rPr>
          <w:b/>
        </w:rPr>
        <w:t>a- Faiz Oranı Riski</w:t>
      </w:r>
      <w:r w:rsidRPr="006071AA">
        <w:t xml:space="preserve">: Fon portföyüne faize dayalı varlıkların (borçlanma aracı, ters repo </w:t>
      </w:r>
      <w:proofErr w:type="spellStart"/>
      <w:r w:rsidRPr="006071AA">
        <w:t>vb</w:t>
      </w:r>
      <w:proofErr w:type="spellEnd"/>
      <w:r w:rsidRPr="006071AA">
        <w:t xml:space="preserve">) dahil edilmesi halinde, söz konusu varlıkların değerinde piyasalarda yaşanabilecek faiz oranları değişimleri nedeniyle oluşan riski ifade eder. </w:t>
      </w:r>
    </w:p>
    <w:p w14:paraId="22D0337F" w14:textId="77777777" w:rsidR="008123B2" w:rsidRPr="006071AA" w:rsidRDefault="008123B2" w:rsidP="008123B2">
      <w:pPr>
        <w:ind w:left="708" w:firstLine="1"/>
      </w:pPr>
    </w:p>
    <w:p w14:paraId="28546515" w14:textId="77777777" w:rsidR="008123B2" w:rsidRPr="006071AA" w:rsidRDefault="008123B2" w:rsidP="008123B2">
      <w:pPr>
        <w:ind w:left="708" w:firstLine="1"/>
      </w:pPr>
      <w:r>
        <w:rPr>
          <w:b/>
        </w:rPr>
        <w:t>b</w:t>
      </w:r>
      <w:r w:rsidRPr="006071AA">
        <w:rPr>
          <w:b/>
        </w:rPr>
        <w:t>- Ortaklık Payı Fiyat Riski:</w:t>
      </w:r>
      <w:r w:rsidRPr="006071AA">
        <w:t xml:space="preserve"> Fon portföyüne ortaklık payı dahil edilmesi halinde, Fon portföyünde bulunan ortaklık paylarının fiyatlarında meydana gelebilecek değişiklikler nedeniyle portföyün maruz kalacağı zarar olasılığını ifade etmektedir. </w:t>
      </w:r>
    </w:p>
    <w:p w14:paraId="48B69738" w14:textId="77777777" w:rsidR="008123B2" w:rsidRPr="006071AA" w:rsidRDefault="008123B2" w:rsidP="008123B2"/>
    <w:p w14:paraId="1FD408DA" w14:textId="77777777" w:rsidR="008123B2" w:rsidRPr="006071AA" w:rsidRDefault="008123B2" w:rsidP="008123B2">
      <w:pPr>
        <w:rPr>
          <w:bCs/>
        </w:rPr>
      </w:pPr>
      <w:r w:rsidRPr="006071AA">
        <w:rPr>
          <w:b/>
        </w:rPr>
        <w:tab/>
        <w:t>2)</w:t>
      </w:r>
      <w:r w:rsidRPr="006071AA">
        <w:t xml:space="preserve"> </w:t>
      </w:r>
      <w:r w:rsidRPr="006071AA">
        <w:rPr>
          <w:b/>
        </w:rPr>
        <w:t>Karşı Taraf Riski:</w:t>
      </w:r>
      <w:r w:rsidRPr="006071AA">
        <w:t xml:space="preserve"> Karşı tarafın sözleşmeden kaynaklanan yükümlülüklerini yerine getirmek istememesi ve/veya yerine getirememesi veya takas işlemlerinde ortaya çıkan aksaklıklar sonucunda ödemenin yapılamaması riskini ifade etmektedir. </w:t>
      </w:r>
    </w:p>
    <w:p w14:paraId="24644DF1" w14:textId="77777777" w:rsidR="008123B2" w:rsidRPr="006071AA" w:rsidRDefault="008123B2" w:rsidP="008123B2">
      <w:pPr>
        <w:rPr>
          <w:bCs/>
        </w:rPr>
      </w:pPr>
    </w:p>
    <w:p w14:paraId="370ED99D" w14:textId="77777777" w:rsidR="008123B2" w:rsidRPr="006071AA" w:rsidRDefault="008123B2" w:rsidP="008123B2">
      <w:r w:rsidRPr="006071AA">
        <w:rPr>
          <w:b/>
        </w:rPr>
        <w:tab/>
        <w:t>3) Likidite Riski:</w:t>
      </w:r>
      <w:r w:rsidRPr="006071AA">
        <w:t xml:space="preserve"> Fon portföyünde bulunan finansal varlıkların istenildiği anda piyasa fiyatından nakde dönüştürülememesi halinde ortaya çıkan zarar olasılığıdır.</w:t>
      </w:r>
    </w:p>
    <w:p w14:paraId="4FBF2550" w14:textId="77777777" w:rsidR="008123B2" w:rsidRPr="006071AA" w:rsidRDefault="008123B2" w:rsidP="008123B2">
      <w:pPr>
        <w:rPr>
          <w:bCs/>
        </w:rPr>
      </w:pPr>
    </w:p>
    <w:p w14:paraId="730760A0" w14:textId="77777777" w:rsidR="008123B2" w:rsidRPr="006071AA" w:rsidRDefault="008123B2" w:rsidP="008123B2">
      <w:r w:rsidRPr="006071AA">
        <w:rPr>
          <w:b/>
        </w:rPr>
        <w:tab/>
        <w:t xml:space="preserve">4) Kaldıraç Yaratan İşlem Riski: </w:t>
      </w:r>
      <w:r w:rsidRPr="006071AA">
        <w:t>Fon portföyüne türev araç (vadeli işlem ve opsiyon sözleşmeleri), saklı türev araç, swap sözleşmesi, varant, sertifika dahil edilmesi ve diğer herhangi bir yöntemle kaldıraç yaratan benzeri işlemlerde bulunulması halinde, başlangıç yatırımı ile başlangıç yatırımının üzerinde pozisyon alınması sebebi ile fonun başlangıç yatırımından daha yüksek zarar kaydedebilme olasılığı kaldıraç riskini ifade eder.</w:t>
      </w:r>
    </w:p>
    <w:p w14:paraId="7D12CFE9" w14:textId="77777777" w:rsidR="008123B2" w:rsidRPr="006071AA" w:rsidRDefault="008123B2" w:rsidP="008123B2"/>
    <w:p w14:paraId="55BF0C2A" w14:textId="77777777" w:rsidR="008123B2" w:rsidRPr="006071AA" w:rsidRDefault="008123B2" w:rsidP="008123B2">
      <w:r w:rsidRPr="006071AA">
        <w:rPr>
          <w:b/>
        </w:rPr>
        <w:tab/>
        <w:t>5) Operasyonel Risk</w:t>
      </w:r>
      <w:r w:rsidRPr="006071AA">
        <w:t>: Operasyonel risk, fonun operasyonel süreçlerindeki aksamalar sonucunda zarar oluşması olasılığını ifade eder. Operasyonel riskin kaynakları arasında kullanılan sistemlerin yetersizliği, başarısız yönetim, personelin hatalı ya da hileli işlemleri gibi kurum içi etkenlerin yanı sıra doğal afetler, rekabet koşulları, politik rejim değişikliği gibi kurum dışı etkenler de olabilir.</w:t>
      </w:r>
    </w:p>
    <w:p w14:paraId="1D427E1A" w14:textId="77777777" w:rsidR="008123B2" w:rsidRPr="006071AA" w:rsidRDefault="008123B2" w:rsidP="008123B2"/>
    <w:p w14:paraId="1AEC72EE" w14:textId="77777777" w:rsidR="008123B2" w:rsidRPr="006071AA" w:rsidRDefault="008123B2" w:rsidP="008123B2">
      <w:r w:rsidRPr="006071AA">
        <w:rPr>
          <w:b/>
        </w:rPr>
        <w:tab/>
        <w:t>6) Yoğunlaşma Riski:</w:t>
      </w:r>
      <w:r w:rsidRPr="006071AA">
        <w:t xml:space="preserve"> Belli bir varlığa ve/veya vadeye yoğun yatırım yapılması sonucu fonun bu varlığın ve vadenin içerdiği risklere maruz kalmasıdır.</w:t>
      </w:r>
    </w:p>
    <w:p w14:paraId="7C01D2DF" w14:textId="77777777" w:rsidR="008123B2" w:rsidRPr="006071AA" w:rsidRDefault="008123B2" w:rsidP="008123B2">
      <w:r w:rsidRPr="006071AA">
        <w:tab/>
      </w:r>
    </w:p>
    <w:p w14:paraId="6D03C0FA" w14:textId="77777777" w:rsidR="008123B2" w:rsidRPr="006071AA" w:rsidRDefault="008123B2" w:rsidP="008123B2">
      <w:r w:rsidRPr="006071AA">
        <w:tab/>
      </w:r>
      <w:r w:rsidRPr="006071AA">
        <w:rPr>
          <w:b/>
        </w:rPr>
        <w:t>7) Korelasyon Riski:</w:t>
      </w:r>
      <w:r w:rsidRPr="006071AA">
        <w:t xml:space="preserve"> Farklı finansal varlıkların piyasa koşulları altında belirli bir zaman dilimi içerisinde aynı anda değer kazanması ya da kaybetmesine paralel olarak, en az iki farklı finansal varlığın birbirleri ile olan pozitif veya negatif yönlü ilişkileri nedeniyle doğabilecek zarar ihtimalini ifade eder.</w:t>
      </w:r>
    </w:p>
    <w:p w14:paraId="440F1C59" w14:textId="77777777" w:rsidR="008123B2" w:rsidRPr="006071AA" w:rsidRDefault="008123B2" w:rsidP="008123B2"/>
    <w:p w14:paraId="12BF60F8" w14:textId="77777777" w:rsidR="008123B2" w:rsidRPr="006071AA" w:rsidRDefault="008123B2" w:rsidP="008123B2">
      <w:r w:rsidRPr="006071AA">
        <w:rPr>
          <w:b/>
        </w:rPr>
        <w:tab/>
        <w:t>8) Yasal Risk:</w:t>
      </w:r>
      <w:r w:rsidRPr="006071AA">
        <w:t xml:space="preserve"> Fonun halka arz edildiği dönemden sonra mevzuatta ve düzenleyici otoritelerin düzenlemelerinde meydana gelebilecek değişiklerden olumsuz etkilenmesi riskidir.</w:t>
      </w:r>
    </w:p>
    <w:p w14:paraId="52F7CD61" w14:textId="77777777" w:rsidR="008123B2" w:rsidRPr="006071AA" w:rsidRDefault="008123B2" w:rsidP="008123B2"/>
    <w:p w14:paraId="078EE06D" w14:textId="29F842B5" w:rsidR="008123B2" w:rsidRPr="006071AA" w:rsidRDefault="008123B2" w:rsidP="008123B2">
      <w:r w:rsidRPr="006071AA">
        <w:t xml:space="preserve">     </w:t>
      </w:r>
      <w:r>
        <w:tab/>
      </w:r>
      <w:r w:rsidRPr="006071AA">
        <w:rPr>
          <w:b/>
        </w:rPr>
        <w:t xml:space="preserve">9) İhraççı Riski: </w:t>
      </w:r>
      <w:r w:rsidRPr="006071AA">
        <w:t>Fon portföyüne alınan varlıkların</w:t>
      </w:r>
      <w:r w:rsidRPr="006071AA">
        <w:rPr>
          <w:b/>
        </w:rPr>
        <w:t xml:space="preserve"> </w:t>
      </w:r>
      <w:r w:rsidRPr="006071AA">
        <w:t>ihraççısının yükümlülüklerini kısmen veya tamamen zamanında yerine getirememesi nedeniyle doğabilecek zarar ihtimalini ifade eder.</w:t>
      </w:r>
    </w:p>
    <w:p w14:paraId="50F652B5" w14:textId="0F447571" w:rsidR="008123B2" w:rsidRDefault="008123B2" w:rsidP="00A514AB"/>
    <w:p w14:paraId="1A22DF0A" w14:textId="560D2699" w:rsidR="00B233A8" w:rsidRPr="00030F33" w:rsidRDefault="00B233A8" w:rsidP="00030F33">
      <w:pPr>
        <w:ind w:firstLine="709"/>
        <w:rPr>
          <w:bCs/>
        </w:rPr>
      </w:pPr>
      <w:r w:rsidRPr="00EC42EC">
        <w:rPr>
          <w:b/>
        </w:rPr>
        <w:t xml:space="preserve">3.2. </w:t>
      </w:r>
      <w:r w:rsidR="00030F33" w:rsidRPr="00030F33">
        <w:rPr>
          <w:bCs/>
        </w:rPr>
        <w:t>Fonun maruz kalabileceği risklerin ölçümünde kullanılan yöntemlere ilişkin detaylı bilgilere Fonun KAP sayfasında (</w:t>
      </w:r>
      <w:hyperlink r:id="rId14" w:history="1">
        <w:r w:rsidR="00030F33" w:rsidRPr="00030F33">
          <w:rPr>
            <w:rStyle w:val="Hyperlink"/>
            <w:bCs/>
          </w:rPr>
          <w:t>www.kap.org.tr</w:t>
        </w:r>
      </w:hyperlink>
      <w:r w:rsidR="00030F33" w:rsidRPr="00030F33">
        <w:rPr>
          <w:bCs/>
        </w:rPr>
        <w:t>)  yer verilmektedir.</w:t>
      </w:r>
    </w:p>
    <w:p w14:paraId="46D33117" w14:textId="77777777" w:rsidR="00B233A8" w:rsidRPr="00EC42EC" w:rsidRDefault="00B233A8" w:rsidP="00B233A8">
      <w:pPr>
        <w:ind w:firstLine="709"/>
        <w:rPr>
          <w:b/>
        </w:rPr>
      </w:pPr>
    </w:p>
    <w:p w14:paraId="2F0F0A83" w14:textId="77777777" w:rsidR="00B233A8" w:rsidRDefault="00B233A8" w:rsidP="00B233A8">
      <w:pPr>
        <w:ind w:firstLine="709"/>
        <w:rPr>
          <w:b/>
        </w:rPr>
      </w:pPr>
      <w:r w:rsidRPr="00EC42EC" w:rsidDel="00321388">
        <w:rPr>
          <w:b/>
        </w:rPr>
        <w:t>3.3. Kaldıraç Yaratan İşlemler</w:t>
      </w:r>
      <w:r w:rsidRPr="00EC42EC">
        <w:rPr>
          <w:b/>
        </w:rPr>
        <w:t xml:space="preserve"> </w:t>
      </w:r>
    </w:p>
    <w:p w14:paraId="46AE2C90" w14:textId="219C1671" w:rsidR="00B233A8" w:rsidRDefault="00B233A8" w:rsidP="00B233A8">
      <w:pPr>
        <w:ind w:firstLine="709"/>
      </w:pPr>
    </w:p>
    <w:p w14:paraId="37B5DAE3" w14:textId="77777777" w:rsidR="008123B2" w:rsidRPr="008123B2" w:rsidRDefault="008123B2" w:rsidP="008123B2">
      <w:pPr>
        <w:spacing w:line="259" w:lineRule="auto"/>
        <w:ind w:firstLine="708"/>
      </w:pPr>
      <w:r w:rsidRPr="008123B2">
        <w:t xml:space="preserve">Fon portföyüne kaldıraç yaratan işlemlerden; türev araç (vadeli işlem ve opsiyon sözleşmeleri), saklı türev araç, swap sözleşmeleri, varant, sertifika, ileri valörlü tahvil/bono alım işlemleri ve diğer herhangi bir yöntemle kaldıraç yaratan benzeri işlemler dahil edilebilecektir. Portföye riskten korunma ve/veya yatırım amacıyla fonun türüne ve yatırım stratejisine uygun olacak şekilde kaldıraç yaratan işlemler dahil edilebilir. </w:t>
      </w:r>
      <w:bookmarkStart w:id="0" w:name="_Hlk109830358"/>
      <w:r w:rsidRPr="008123B2">
        <w:t>İşbu araç, sözleşme ve işlemlerin hiçbir tarafı yabancı para birimi cinsinden varlık ve altın ile diğer kıymetli madenler ve bunlara dayalı sermaye piyasası araçlarından oluşturulamaz.</w:t>
      </w:r>
      <w:r w:rsidRPr="008123B2">
        <w:rPr>
          <w:b/>
        </w:rPr>
        <w:t xml:space="preserve"> </w:t>
      </w:r>
    </w:p>
    <w:bookmarkEnd w:id="0"/>
    <w:p w14:paraId="7C15A11F" w14:textId="77777777" w:rsidR="008123B2" w:rsidRDefault="008123B2" w:rsidP="00B233A8">
      <w:pPr>
        <w:ind w:firstLine="709"/>
      </w:pPr>
    </w:p>
    <w:p w14:paraId="22F061E9" w14:textId="4F67804C" w:rsidR="00B233A8" w:rsidRDefault="00B233A8" w:rsidP="00B233A8">
      <w:pPr>
        <w:ind w:firstLine="709"/>
      </w:pPr>
      <w:r w:rsidRPr="006A0B89">
        <w:rPr>
          <w:b/>
        </w:rPr>
        <w:t>3.4.</w:t>
      </w:r>
      <w:r w:rsidR="008123B2">
        <w:rPr>
          <w:b/>
        </w:rPr>
        <w:t xml:space="preserve"> </w:t>
      </w:r>
      <w:r>
        <w:t>Kaldıraç yaratan işlemlerden kaynaklanan riskin ölçümünde Rehber’de belirlenen esaslar çerçevesinde göreli RMD yöntemi kullanılacaktır.</w:t>
      </w:r>
      <w:r w:rsidRPr="004000D7">
        <w:t xml:space="preserve"> </w:t>
      </w:r>
    </w:p>
    <w:p w14:paraId="3774A81A" w14:textId="77777777" w:rsidR="00186B1A" w:rsidRDefault="00186B1A" w:rsidP="00B233A8">
      <w:pPr>
        <w:ind w:firstLine="709"/>
      </w:pPr>
    </w:p>
    <w:p w14:paraId="7AE8FA10" w14:textId="77777777" w:rsidR="00B233A8" w:rsidRDefault="00B233A8" w:rsidP="00B233A8">
      <w:pPr>
        <w:ind w:firstLine="709"/>
      </w:pPr>
      <w:r>
        <w:t>Fon portföyünün riske maruz değeri, referans alınan portföyün riske maruz değerinin iki katını aşamaz.</w:t>
      </w:r>
    </w:p>
    <w:p w14:paraId="56CE3085" w14:textId="77777777" w:rsidR="00B233A8" w:rsidRDefault="00B233A8" w:rsidP="00B233A8">
      <w:pPr>
        <w:ind w:firstLine="709"/>
      </w:pPr>
    </w:p>
    <w:p w14:paraId="3F285022" w14:textId="0BC4D950" w:rsidR="00B233A8" w:rsidRDefault="00B233A8" w:rsidP="00B233A8">
      <w:pPr>
        <w:ind w:firstLine="709"/>
      </w:pPr>
      <w:r w:rsidRPr="003C51F2">
        <w:rPr>
          <w:b/>
        </w:rPr>
        <w:lastRenderedPageBreak/>
        <w:t>3.5.</w:t>
      </w:r>
      <w:r>
        <w:rPr>
          <w:b/>
        </w:rPr>
        <w:t xml:space="preserve"> </w:t>
      </w:r>
      <w:r>
        <w:t xml:space="preserve">Yatırım fonlarına ilişkin rehberde belirlenen esaslar çerçevesinde gerçekleştirilen risk hesaplamalarında kullanılan referans portföy fon karşılaştırma ölçütü olan </w:t>
      </w:r>
      <w:r w:rsidR="00E01374">
        <w:rPr>
          <w:rFonts w:cs="Verdana"/>
          <w:bCs/>
          <w:color w:val="000000"/>
        </w:rPr>
        <w:t>%90</w:t>
      </w:r>
      <w:r w:rsidR="0076572C">
        <w:rPr>
          <w:rFonts w:cs="Verdana"/>
          <w:bCs/>
          <w:color w:val="000000"/>
        </w:rPr>
        <w:t xml:space="preserve"> BIST 100 Getiri </w:t>
      </w:r>
      <w:r w:rsidR="00E01374">
        <w:rPr>
          <w:rFonts w:cs="Verdana"/>
          <w:bCs/>
          <w:color w:val="000000"/>
        </w:rPr>
        <w:t xml:space="preserve">Endeksi </w:t>
      </w:r>
      <w:r w:rsidR="00E01374" w:rsidRPr="00FC2DA7">
        <w:t>+</w:t>
      </w:r>
      <w:r w:rsidR="0076572C">
        <w:t xml:space="preserve"> %10 </w:t>
      </w:r>
      <w:r w:rsidR="008F1E2D">
        <w:t>BIST-</w:t>
      </w:r>
      <w:r w:rsidR="0076572C">
        <w:t>KYD Repo (Brüt)</w:t>
      </w:r>
      <w:r w:rsidR="0076572C">
        <w:rPr>
          <w:rFonts w:cs="Verdana"/>
          <w:bCs/>
          <w:color w:val="000000"/>
        </w:rPr>
        <w:t xml:space="preserve"> Endeksi</w:t>
      </w:r>
      <w:r w:rsidR="0076572C">
        <w:t xml:space="preserve"> </w:t>
      </w:r>
      <w:r>
        <w:t>olarak belirlenmiştir.</w:t>
      </w:r>
    </w:p>
    <w:p w14:paraId="0896FED3" w14:textId="77777777" w:rsidR="00B233A8" w:rsidRPr="006A0B89" w:rsidDel="00321388" w:rsidRDefault="00B233A8" w:rsidP="00B233A8">
      <w:pPr>
        <w:ind w:firstLine="709"/>
        <w:rPr>
          <w:b/>
        </w:rPr>
      </w:pPr>
    </w:p>
    <w:p w14:paraId="23BA894B" w14:textId="155EB7EC" w:rsidR="00B233A8" w:rsidRDefault="00B233A8" w:rsidP="00B233A8">
      <w:pPr>
        <w:ind w:left="1" w:firstLine="708"/>
      </w:pPr>
      <w:r w:rsidRPr="00EC42EC">
        <w:rPr>
          <w:b/>
        </w:rPr>
        <w:t>3.</w:t>
      </w:r>
      <w:r>
        <w:rPr>
          <w:b/>
        </w:rPr>
        <w:t>6</w:t>
      </w:r>
      <w:r w:rsidRPr="00EC42EC">
        <w:rPr>
          <w:b/>
        </w:rPr>
        <w:t>.</w:t>
      </w:r>
      <w:r w:rsidR="00E01374">
        <w:rPr>
          <w:b/>
        </w:rPr>
        <w:t xml:space="preserve"> </w:t>
      </w:r>
      <w:r w:rsidRPr="00EC42EC">
        <w:t xml:space="preserve">Kaldıraç yaratan işlemlere ilişkin olarak araç bazında ayrı ayrı hesaplanan pozisyonların mutlak değerlerinin toplanması (sum of notionals) suretiyle ulaşılan toplam pozisyonun fon toplam değerine oranına “kaldıraç” denir. Fonun kaldıraç limiti </w:t>
      </w:r>
      <w:r w:rsidR="00E01374">
        <w:t>%100</w:t>
      </w:r>
      <w:r w:rsidRPr="00EC42EC">
        <w:t>’dir.</w:t>
      </w:r>
    </w:p>
    <w:p w14:paraId="00CF7570" w14:textId="77777777" w:rsidR="00B233A8" w:rsidRPr="00EC42EC" w:rsidRDefault="00B233A8" w:rsidP="00A514AB"/>
    <w:p w14:paraId="31D8F419" w14:textId="77777777" w:rsidR="00B233A8" w:rsidRPr="00EC42EC" w:rsidRDefault="00B233A8" w:rsidP="00B233A8">
      <w:pPr>
        <w:pStyle w:val="Heading2"/>
        <w:ind w:firstLine="708"/>
        <w:rPr>
          <w:rFonts w:cs="Times New Roman"/>
          <w:sz w:val="24"/>
          <w:szCs w:val="24"/>
        </w:rPr>
      </w:pPr>
      <w:r w:rsidRPr="00EC42EC">
        <w:rPr>
          <w:rFonts w:cs="Times New Roman"/>
          <w:sz w:val="24"/>
          <w:szCs w:val="24"/>
        </w:rPr>
        <w:t xml:space="preserve">IV. FON PORTFÖYÜNÜN SAKLANMASI VE FON MALVARLIĞININ AYRILIĞI  </w:t>
      </w:r>
    </w:p>
    <w:p w14:paraId="6B193594" w14:textId="77777777" w:rsidR="00B233A8" w:rsidRPr="00EC42EC" w:rsidRDefault="00B233A8" w:rsidP="00B233A8">
      <w:pPr>
        <w:ind w:firstLine="709"/>
      </w:pPr>
    </w:p>
    <w:p w14:paraId="41295395" w14:textId="77777777" w:rsidR="00B233A8" w:rsidRPr="00EC42EC" w:rsidRDefault="00B233A8" w:rsidP="00B233A8">
      <w:pPr>
        <w:ind w:firstLine="709"/>
      </w:pPr>
      <w:r w:rsidRPr="00EC42EC">
        <w:rPr>
          <w:b/>
        </w:rPr>
        <w:t xml:space="preserve">4.1. </w:t>
      </w:r>
      <w:r w:rsidRPr="00EC42EC">
        <w:t xml:space="preserve">Fon portföyünde yer alan ve saklamaya konu olabilecek varlıklar Kurulun portföy saklama hizmetine ilişkin düzenlemeleri çerçevesinde Portföy Saklayıcısı nezdinde saklanır. </w:t>
      </w:r>
    </w:p>
    <w:p w14:paraId="69785112" w14:textId="77777777" w:rsidR="00B233A8" w:rsidRPr="00EC42EC" w:rsidRDefault="00B233A8" w:rsidP="00B233A8">
      <w:pPr>
        <w:ind w:firstLine="709"/>
      </w:pPr>
    </w:p>
    <w:p w14:paraId="184275C5" w14:textId="77777777" w:rsidR="001F4FB8" w:rsidRPr="001F4FB8" w:rsidRDefault="00B233A8" w:rsidP="001F4FB8">
      <w:pPr>
        <w:ind w:firstLine="709"/>
      </w:pPr>
      <w:r w:rsidRPr="00EC42EC">
        <w:rPr>
          <w:b/>
        </w:rPr>
        <w:t xml:space="preserve">4.2. </w:t>
      </w:r>
      <w:r w:rsidR="001F4FB8" w:rsidRPr="001F4FB8">
        <w:t xml:space="preserve">Fon’un malvarlığı </w:t>
      </w:r>
      <w:proofErr w:type="spellStart"/>
      <w:r w:rsidR="001F4FB8" w:rsidRPr="001F4FB8">
        <w:t>Kurucu’nun</w:t>
      </w:r>
      <w:proofErr w:type="spellEnd"/>
      <w:r w:rsidR="001F4FB8" w:rsidRPr="001F4FB8">
        <w:t xml:space="preserve"> ve Portföy </w:t>
      </w:r>
      <w:proofErr w:type="spellStart"/>
      <w:r w:rsidR="001F4FB8" w:rsidRPr="001F4FB8">
        <w:t>Saklayıcısı’nın</w:t>
      </w:r>
      <w:proofErr w:type="spellEnd"/>
      <w:r w:rsidR="001F4FB8" w:rsidRPr="001F4FB8">
        <w:t xml:space="preserve"> malvarlığından ayrıdır. Fon’un malvarlığı, fon hesabına olması şartıyla kredi almak59 türev araç işlemleri veya fon adına taraf olunan benzer nitelikteki işlemlerde bulunmak haricinde teminat gösterilemez ve rehnedilemez. Fon malvarlığı Kurucunun ve Portföy Saklayıcısının yönetiminin veya denetiminin kamu kurumlarına devredilmesi halinde dahi başka bir amaçla tasarruf edilemez, kamu alacaklarının tahsili amacı da dahil olmak üzere haczedilemez, üzerine ihtiyati tedbir konulamaz ve iflas masasına dahil edilemez.</w:t>
      </w:r>
    </w:p>
    <w:p w14:paraId="52C4D947" w14:textId="48ACD384" w:rsidR="00B233A8" w:rsidRPr="00EC42EC" w:rsidRDefault="00B233A8">
      <w:pPr>
        <w:ind w:firstLine="709"/>
      </w:pPr>
    </w:p>
    <w:p w14:paraId="3C4800D8" w14:textId="77777777" w:rsidR="00B233A8" w:rsidRPr="00EC42EC" w:rsidRDefault="00B233A8" w:rsidP="00B233A8">
      <w:pPr>
        <w:ind w:firstLine="709"/>
        <w:rPr>
          <w:b/>
        </w:rPr>
      </w:pPr>
      <w:r w:rsidRPr="00EC42EC">
        <w:rPr>
          <w:b/>
        </w:rPr>
        <w:t>V.</w:t>
      </w:r>
      <w:r w:rsidRPr="00EC42EC">
        <w:t xml:space="preserve"> </w:t>
      </w:r>
      <w:r w:rsidRPr="00EC42EC">
        <w:rPr>
          <w:b/>
        </w:rPr>
        <w:t>FON BİRİM PAY DEĞERİNİN, FON TOPLAM DEĞERİNİN VE FON PORTFÖY DEĞERİNİN BELİRLENME ESASLARI</w:t>
      </w:r>
    </w:p>
    <w:p w14:paraId="31552C8C" w14:textId="77777777" w:rsidR="00B233A8" w:rsidRPr="00EC42EC" w:rsidRDefault="00B233A8" w:rsidP="00B233A8">
      <w:pPr>
        <w:pStyle w:val="Heading2"/>
        <w:ind w:firstLine="709"/>
        <w:rPr>
          <w:sz w:val="24"/>
          <w:szCs w:val="24"/>
        </w:rPr>
      </w:pPr>
    </w:p>
    <w:p w14:paraId="2B9AB4AD" w14:textId="77777777" w:rsidR="00B233A8" w:rsidRPr="00EC42EC" w:rsidRDefault="00B233A8" w:rsidP="00B233A8">
      <w:pPr>
        <w:ind w:firstLine="708"/>
        <w:rPr>
          <w:b/>
        </w:rPr>
      </w:pPr>
      <w:r w:rsidRPr="00EC42EC">
        <w:rPr>
          <w:b/>
        </w:rPr>
        <w:t xml:space="preserve">5.1. </w:t>
      </w:r>
      <w:r w:rsidRPr="00EC42EC">
        <w:t>"Fon Portföy Değeri", portföydeki varlıkların Finansal Raporlama Tebliği’nde belirlenen ilkeler çerçevesinde hesaplanan değerlerinin toplamıdır. “Fon Toplam Değeri” ise, Fon Portföy Değerine varsa diğer varlıkların eklenmesi ve borçların düşülmesi suretiyle hesaplanır.</w:t>
      </w:r>
      <w:r w:rsidRPr="00EC42EC">
        <w:rPr>
          <w:b/>
        </w:rPr>
        <w:t xml:space="preserve"> </w:t>
      </w:r>
    </w:p>
    <w:p w14:paraId="69122511" w14:textId="77777777" w:rsidR="00B233A8" w:rsidRPr="00EC42EC" w:rsidRDefault="00B233A8" w:rsidP="00B233A8">
      <w:pPr>
        <w:ind w:firstLine="708"/>
      </w:pPr>
    </w:p>
    <w:p w14:paraId="7824DD4E" w14:textId="051CC9DA" w:rsidR="00B233A8" w:rsidRPr="00EC42EC" w:rsidRDefault="00B233A8" w:rsidP="00B233A8">
      <w:pPr>
        <w:ind w:firstLine="708"/>
      </w:pPr>
      <w:r w:rsidRPr="00EC42EC">
        <w:rPr>
          <w:b/>
        </w:rPr>
        <w:t>5.2.</w:t>
      </w:r>
      <w:r w:rsidRPr="00EC42EC">
        <w:t xml:space="preserve"> Fon’un birim pay değeri, fon toplam değerinin fon toplam pay sayısına bölünmesi suretiyle hesaplanır. Bu değer her iş günü sonu itibariyle Finansal Raporlama Tebliği’nde belirlenen ilkeler çerçevesinde hesaplanır ve katılma paylarının alım-satım yerlerinde ilan edilir.</w:t>
      </w:r>
    </w:p>
    <w:p w14:paraId="394AFB43" w14:textId="77777777" w:rsidR="00B233A8" w:rsidRPr="00EC42EC" w:rsidRDefault="00B233A8" w:rsidP="00B233A8">
      <w:pPr>
        <w:ind w:firstLine="709"/>
      </w:pPr>
    </w:p>
    <w:p w14:paraId="0C9611FC" w14:textId="77777777" w:rsidR="00B233A8" w:rsidRPr="00EC42EC" w:rsidRDefault="00B233A8" w:rsidP="00B233A8">
      <w:pPr>
        <w:ind w:firstLine="709"/>
      </w:pPr>
      <w:r w:rsidRPr="00EC42EC">
        <w:rPr>
          <w:b/>
        </w:rPr>
        <w:t>5.3</w:t>
      </w:r>
      <w:r w:rsidRPr="00EC42EC">
        <w:t xml:space="preserve">. Savaş, doğal afetler, ekonomik kriz, iletişim sistemlerinin çökmesi, portföydeki varlıkların ilgili olduğu pazarın, piyasanın, platformun kapanması, bilgisayar sistemlerinde meydana gelebilecek arızalar, şirketin mali durumunu etkileyebilecek önemli bir bilginin ortaya çıkması gibi olağanüstü durumların meydana gelmesi halinde, değerleme esaslarının tespiti hususunda </w:t>
      </w:r>
      <w:proofErr w:type="spellStart"/>
      <w:r w:rsidRPr="00EC42EC">
        <w:t>Kurucu’nun</w:t>
      </w:r>
      <w:proofErr w:type="spellEnd"/>
      <w:r w:rsidRPr="00EC42EC">
        <w:t xml:space="preserve"> yönetim kurulu karar alabilir. Ayrıca söz konusu olaylarla ilgili olarak </w:t>
      </w:r>
      <w:proofErr w:type="spellStart"/>
      <w:r w:rsidRPr="00EC42EC">
        <w:t>KAP’ta</w:t>
      </w:r>
      <w:proofErr w:type="spellEnd"/>
      <w:r w:rsidRPr="00EC42EC">
        <w:t xml:space="preserve"> açıklama yapılır.</w:t>
      </w:r>
    </w:p>
    <w:p w14:paraId="743C9F73" w14:textId="77777777" w:rsidR="00B233A8" w:rsidRPr="00EC42EC" w:rsidRDefault="00B233A8" w:rsidP="00B233A8">
      <w:pPr>
        <w:ind w:firstLine="709"/>
      </w:pPr>
    </w:p>
    <w:p w14:paraId="54BDF3BD" w14:textId="77777777" w:rsidR="00B233A8" w:rsidRDefault="00B233A8" w:rsidP="00B233A8">
      <w:pPr>
        <w:ind w:firstLine="709"/>
      </w:pPr>
      <w:r w:rsidRPr="00EC42EC">
        <w:rPr>
          <w:b/>
        </w:rPr>
        <w:t>5.4.</w:t>
      </w:r>
      <w:r w:rsidRPr="00EC42EC">
        <w:t xml:space="preserve"> 5.3. numaralı maddede belirtilen durumlarda, Kurulca uygun görülmesi halinde, katılma paylarının birim pay değerleri hesaplanmayabilir ve katılma paylarının alım satımı durdurulabilir.</w:t>
      </w:r>
    </w:p>
    <w:p w14:paraId="46F69578" w14:textId="77777777" w:rsidR="00B233A8" w:rsidRDefault="00B233A8" w:rsidP="00A514AB">
      <w:pPr>
        <w:rPr>
          <w:b/>
        </w:rPr>
      </w:pPr>
    </w:p>
    <w:p w14:paraId="123B6A95" w14:textId="3B376057" w:rsidR="008123B2" w:rsidRDefault="00B233A8" w:rsidP="001F4FB8">
      <w:pPr>
        <w:ind w:firstLine="708"/>
      </w:pPr>
      <w:r w:rsidRPr="00EC42EC">
        <w:rPr>
          <w:b/>
        </w:rPr>
        <w:t xml:space="preserve">5.5. </w:t>
      </w:r>
      <w:r w:rsidR="001F4FB8">
        <w:t>Fon portföyündeki varlık ve işlemlerin değerleme esasları Fon’un KAP (</w:t>
      </w:r>
      <w:hyperlink r:id="rId15" w:history="1">
        <w:r w:rsidR="001F4FB8">
          <w:rPr>
            <w:rStyle w:val="Hyperlink"/>
          </w:rPr>
          <w:t>www.kap.org.tr</w:t>
        </w:r>
      </w:hyperlink>
      <w:r w:rsidR="001F4FB8">
        <w:t>)  sayfasında yer almaktadır.</w:t>
      </w:r>
    </w:p>
    <w:p w14:paraId="03289721" w14:textId="77777777" w:rsidR="00B233A8" w:rsidRDefault="00B233A8" w:rsidP="00A514AB">
      <w:pPr>
        <w:rPr>
          <w:b/>
        </w:rPr>
      </w:pPr>
    </w:p>
    <w:p w14:paraId="473A7500" w14:textId="77777777" w:rsidR="00B233A8" w:rsidRPr="00EC42EC" w:rsidRDefault="00B233A8" w:rsidP="00B233A8">
      <w:pPr>
        <w:ind w:firstLine="709"/>
        <w:rPr>
          <w:b/>
        </w:rPr>
      </w:pPr>
      <w:r w:rsidRPr="00EC42EC">
        <w:rPr>
          <w:b/>
        </w:rPr>
        <w:t>VI. KATILMA PAYLARININ ALIM SATIM ESASLARI</w:t>
      </w:r>
    </w:p>
    <w:p w14:paraId="28A75AB1" w14:textId="77777777" w:rsidR="00B233A8" w:rsidRDefault="00B233A8" w:rsidP="00B233A8">
      <w:pPr>
        <w:ind w:firstLine="709"/>
        <w:rPr>
          <w:b/>
        </w:rPr>
      </w:pPr>
    </w:p>
    <w:p w14:paraId="374F130A" w14:textId="7ACE9524" w:rsidR="00B233A8" w:rsidRPr="00D50771" w:rsidRDefault="00B233A8" w:rsidP="00B233A8">
      <w:pPr>
        <w:ind w:firstLine="709"/>
        <w:rPr>
          <w:bCs/>
        </w:rPr>
      </w:pPr>
      <w:r w:rsidRPr="00D50771">
        <w:rPr>
          <w:bCs/>
        </w:rPr>
        <w:t xml:space="preserve">Fon satış başlangıç tarihinde bir adet </w:t>
      </w:r>
      <w:r w:rsidR="00E01374" w:rsidRPr="00D50771">
        <w:rPr>
          <w:bCs/>
        </w:rPr>
        <w:t>payın fiyatı</w:t>
      </w:r>
      <w:r w:rsidRPr="00D50771">
        <w:rPr>
          <w:bCs/>
        </w:rPr>
        <w:t xml:space="preserve"> (birim pay değeri) 1 TL’dir. Takip eden günlerde fonun birim pay değeri, fon toplam değerinin katılma paylarının sayısına bölünmesiyle elde edilir.</w:t>
      </w:r>
    </w:p>
    <w:p w14:paraId="4E0EBD70" w14:textId="77777777" w:rsidR="00B04F93" w:rsidRDefault="00B04F93" w:rsidP="00B233A8">
      <w:pPr>
        <w:ind w:firstLine="709"/>
        <w:rPr>
          <w:b/>
        </w:rPr>
      </w:pPr>
    </w:p>
    <w:p w14:paraId="0B7755D5" w14:textId="77777777" w:rsidR="00B233A8" w:rsidRPr="00EC42EC" w:rsidRDefault="00B233A8" w:rsidP="00B233A8">
      <w:pPr>
        <w:ind w:firstLine="709"/>
        <w:rPr>
          <w:b/>
        </w:rPr>
      </w:pPr>
      <w:r w:rsidRPr="00EC42EC">
        <w:rPr>
          <w:b/>
        </w:rPr>
        <w:t>6.1. Katılma Payı Alım Esaslar</w:t>
      </w:r>
      <w:r>
        <w:rPr>
          <w:b/>
        </w:rPr>
        <w:t>ı</w:t>
      </w:r>
    </w:p>
    <w:p w14:paraId="57FC5645" w14:textId="77777777" w:rsidR="00D50771" w:rsidRDefault="00D50771" w:rsidP="00B233A8">
      <w:pPr>
        <w:ind w:firstLine="709"/>
      </w:pPr>
    </w:p>
    <w:p w14:paraId="52A31A61" w14:textId="77777777" w:rsidR="00030F33" w:rsidRPr="0073450D" w:rsidRDefault="00030F33" w:rsidP="00030F33">
      <w:pPr>
        <w:ind w:firstLine="709"/>
      </w:pPr>
      <w:r w:rsidRPr="0073450D">
        <w:t>Yatırımcıların BIST Pay Piyasası’nın açık olduğu günlerde saat 13.30’a kadar verdikleri katılma payı alım talimatları talimatın verilmesini takip eden ilk hesaplamada bulunacak pay fiyatı üzerinden yerine getirilir.</w:t>
      </w:r>
    </w:p>
    <w:p w14:paraId="5637DF91" w14:textId="77777777" w:rsidR="00030F33" w:rsidRPr="0073450D" w:rsidRDefault="00030F33" w:rsidP="00030F33">
      <w:pPr>
        <w:ind w:firstLine="709"/>
      </w:pPr>
    </w:p>
    <w:p w14:paraId="38889FD5" w14:textId="77777777" w:rsidR="00030F33" w:rsidRPr="0073450D" w:rsidRDefault="00030F33" w:rsidP="00030F33">
      <w:pPr>
        <w:widowControl w:val="0"/>
        <w:ind w:firstLine="709"/>
        <w:rPr>
          <w:lang w:eastAsia="en-US"/>
        </w:rPr>
      </w:pPr>
      <w:r w:rsidRPr="0073450D">
        <w:rPr>
          <w:lang w:eastAsia="en-US"/>
        </w:rPr>
        <w:t>BIST Pay Piyasası’nın açık olduğu günlerde saat 13.30’dan sonra iletilen talimatlar ise, ilk pay fiyatı hesaplamasından sonra verilmiş olarak kabul edilir ve izleyen hesaplamada bulunan pay fiyatı üzerinden yerine getirilir.</w:t>
      </w:r>
    </w:p>
    <w:p w14:paraId="6C688644" w14:textId="77777777" w:rsidR="00030F33" w:rsidRPr="0073450D" w:rsidRDefault="00030F33" w:rsidP="00030F33">
      <w:pPr>
        <w:widowControl w:val="0"/>
        <w:ind w:firstLine="709"/>
        <w:rPr>
          <w:lang w:eastAsia="en-US"/>
        </w:rPr>
      </w:pPr>
    </w:p>
    <w:p w14:paraId="00F3E162" w14:textId="77777777" w:rsidR="00030F33" w:rsidRPr="0073450D" w:rsidRDefault="00030F33" w:rsidP="00030F33">
      <w:pPr>
        <w:widowControl w:val="0"/>
        <w:ind w:firstLine="709"/>
        <w:rPr>
          <w:lang w:eastAsia="en-US"/>
        </w:rPr>
      </w:pPr>
      <w:r w:rsidRPr="0073450D">
        <w:rPr>
          <w:lang w:eastAsia="en-US"/>
        </w:rPr>
        <w:t xml:space="preserve">BIST Pay Piyasası’nın kapalı olduğu günlerde iletilen talimatlar, izleyen ilk işgünü yapılacak ilk hesaplamada bulunacak pay fiyatı üzerinden gerçekleştirilir. </w:t>
      </w:r>
    </w:p>
    <w:p w14:paraId="271A17B0" w14:textId="77777777" w:rsidR="00030F33" w:rsidRDefault="00030F33" w:rsidP="00030F33">
      <w:pPr>
        <w:tabs>
          <w:tab w:val="left" w:pos="851"/>
        </w:tabs>
        <w:ind w:firstLine="709"/>
        <w:rPr>
          <w:b/>
          <w:bCs/>
        </w:rPr>
      </w:pPr>
    </w:p>
    <w:p w14:paraId="2F0B7F6D" w14:textId="77777777" w:rsidR="00030F33" w:rsidRPr="00030F33" w:rsidRDefault="00030F33" w:rsidP="00030F33">
      <w:pPr>
        <w:tabs>
          <w:tab w:val="left" w:pos="851"/>
        </w:tabs>
        <w:ind w:firstLine="709"/>
      </w:pPr>
      <w:r w:rsidRPr="00030F33">
        <w:t>Yurt içi piyasalarda yarım gün tatil olması durumunda, gerçekleşme valörü yarım güne denk gelen talimatlar, izleyen ilk iş günü gerçekleştirilir.</w:t>
      </w:r>
    </w:p>
    <w:p w14:paraId="36425FD2" w14:textId="0686695D" w:rsidR="00B233A8" w:rsidRDefault="00B233A8" w:rsidP="00B233A8"/>
    <w:p w14:paraId="2B62B8F5" w14:textId="54DBFE9B" w:rsidR="00B233A8" w:rsidRPr="00EC42EC" w:rsidRDefault="00B233A8" w:rsidP="00B233A8">
      <w:pPr>
        <w:ind w:firstLine="708"/>
        <w:rPr>
          <w:b/>
        </w:rPr>
      </w:pPr>
      <w:r w:rsidRPr="00EC42EC">
        <w:rPr>
          <w:b/>
        </w:rPr>
        <w:t xml:space="preserve">6.2. Alım Bedellerinin Tahsil Esasları </w:t>
      </w:r>
      <w:r w:rsidR="00DE1305">
        <w:rPr>
          <w:b/>
        </w:rPr>
        <w:t xml:space="preserve"> </w:t>
      </w:r>
    </w:p>
    <w:p w14:paraId="529B7733" w14:textId="77777777" w:rsidR="00D50771" w:rsidRDefault="00D50771" w:rsidP="00A514AB">
      <w:pPr>
        <w:autoSpaceDE w:val="0"/>
        <w:autoSpaceDN w:val="0"/>
        <w:adjustRightInd w:val="0"/>
        <w:ind w:firstLine="708"/>
        <w:rPr>
          <w:color w:val="000000"/>
          <w:sz w:val="23"/>
          <w:szCs w:val="23"/>
        </w:rPr>
      </w:pPr>
    </w:p>
    <w:p w14:paraId="5A2385B2" w14:textId="1C004D20" w:rsidR="00DE1305" w:rsidRDefault="00B233A8" w:rsidP="00A514AB">
      <w:pPr>
        <w:autoSpaceDE w:val="0"/>
        <w:autoSpaceDN w:val="0"/>
        <w:adjustRightInd w:val="0"/>
        <w:ind w:firstLine="708"/>
        <w:rPr>
          <w:color w:val="000000"/>
          <w:sz w:val="23"/>
          <w:szCs w:val="23"/>
        </w:rPr>
      </w:pPr>
      <w:r w:rsidRPr="00EA084D">
        <w:rPr>
          <w:color w:val="000000"/>
          <w:sz w:val="23"/>
          <w:szCs w:val="23"/>
        </w:rPr>
        <w:t xml:space="preserve">Alım talimatının verilmesi sırasında, talep edilen katılma payı bedelinin Kurucu tarafından tahsil edilmesi esastır. Alım talimatları pay sayısı ya da tutar olarak verilebilir. </w:t>
      </w:r>
    </w:p>
    <w:p w14:paraId="6BAA1499" w14:textId="77777777" w:rsidR="00D50771" w:rsidRDefault="00D50771" w:rsidP="00A514AB">
      <w:pPr>
        <w:autoSpaceDE w:val="0"/>
        <w:autoSpaceDN w:val="0"/>
        <w:adjustRightInd w:val="0"/>
        <w:ind w:firstLine="708"/>
        <w:rPr>
          <w:color w:val="000000"/>
          <w:sz w:val="23"/>
          <w:szCs w:val="23"/>
        </w:rPr>
      </w:pPr>
    </w:p>
    <w:p w14:paraId="055E554A" w14:textId="3138D0AC" w:rsidR="00B233A8" w:rsidRPr="00EA084D" w:rsidRDefault="00B233A8" w:rsidP="00A514AB">
      <w:pPr>
        <w:autoSpaceDE w:val="0"/>
        <w:autoSpaceDN w:val="0"/>
        <w:adjustRightInd w:val="0"/>
        <w:ind w:firstLine="708"/>
        <w:rPr>
          <w:color w:val="000000"/>
          <w:sz w:val="23"/>
          <w:szCs w:val="23"/>
        </w:rPr>
      </w:pPr>
      <w:r w:rsidRPr="00EA084D">
        <w:rPr>
          <w:color w:val="000000"/>
          <w:sz w:val="23"/>
          <w:szCs w:val="23"/>
        </w:rPr>
        <w:t xml:space="preserve">Kurucu, talimatın pay sayısı olarak verilmesi halinde, alış işlemine uygulanacak fiyatın kesin olarak bilinmemesi nedeniyle, katılma payı bedellerini en son ilan edilen satış fiyatına %10 ilave marj uygulayarak tahsil edebilir. Ayrıca, katılma payı bedellerini işlem günü tahsil etmek üzere en son ilan edilen fiyata marj uygulanmak suretiyle bulunan tutara eş değer kıymeti teminat olarak kabul edebilir. Talimatın tutar olarak verilmesi halinde ise belirtilen tutar tahsil edilerek, bu tutara denk gelen pay sayısı fon fiyatı açıklandıktan sonra hesaplanır. </w:t>
      </w:r>
    </w:p>
    <w:p w14:paraId="4F49B97F" w14:textId="77777777" w:rsidR="00D50771" w:rsidRDefault="00D50771" w:rsidP="00A514AB">
      <w:pPr>
        <w:autoSpaceDE w:val="0"/>
        <w:autoSpaceDN w:val="0"/>
        <w:adjustRightInd w:val="0"/>
        <w:ind w:firstLine="708"/>
        <w:rPr>
          <w:color w:val="000000"/>
          <w:sz w:val="23"/>
          <w:szCs w:val="23"/>
        </w:rPr>
      </w:pPr>
    </w:p>
    <w:p w14:paraId="0EFAB9E6" w14:textId="76E521AC" w:rsidR="00B233A8" w:rsidRPr="00EA084D" w:rsidRDefault="00B233A8" w:rsidP="00A514AB">
      <w:pPr>
        <w:autoSpaceDE w:val="0"/>
        <w:autoSpaceDN w:val="0"/>
        <w:adjustRightInd w:val="0"/>
        <w:ind w:firstLine="708"/>
        <w:rPr>
          <w:color w:val="000000"/>
          <w:sz w:val="23"/>
          <w:szCs w:val="23"/>
        </w:rPr>
      </w:pPr>
      <w:r w:rsidRPr="00EA084D">
        <w:rPr>
          <w:color w:val="000000"/>
          <w:sz w:val="23"/>
          <w:szCs w:val="23"/>
        </w:rPr>
        <w:t xml:space="preserve">TEFAS üzerinden gerçekleştirilecek işlemlerde, fonlar için alım talimatları pay sayısı ya da tutar olarak verilebilir. Dağıtıcı kuruluş, talimatın pay sayısı olarak verilmesi halinde, alış işlemine uygulanacak fiyatın kesin olarak bilinmemesi nedeniyle, katılma payı bedellerini en son ilan edilen satış fiyatına %10 ilave marj uygulayarak tahsil edebilir. Ayrıca katılma payı bedellerini işlem günü tahsil etmek üzere en son ilan edilen fiyata marj uygulanmak suretiyle bulunan tutara eş değer kıymet teminat olarak kabul edebilir. </w:t>
      </w:r>
      <w:r w:rsidR="00DE1305">
        <w:rPr>
          <w:color w:val="000000"/>
          <w:sz w:val="23"/>
          <w:szCs w:val="23"/>
        </w:rPr>
        <w:t xml:space="preserve"> </w:t>
      </w:r>
    </w:p>
    <w:p w14:paraId="6722C0CD" w14:textId="77777777" w:rsidR="00D50771" w:rsidRDefault="00D50771" w:rsidP="00A514AB">
      <w:pPr>
        <w:autoSpaceDE w:val="0"/>
        <w:autoSpaceDN w:val="0"/>
        <w:adjustRightInd w:val="0"/>
        <w:ind w:firstLine="708"/>
        <w:rPr>
          <w:color w:val="000000"/>
          <w:sz w:val="23"/>
          <w:szCs w:val="23"/>
        </w:rPr>
      </w:pPr>
    </w:p>
    <w:p w14:paraId="43BA6101" w14:textId="5A5E1A45" w:rsidR="00B233A8" w:rsidRPr="00EA084D" w:rsidRDefault="00B233A8" w:rsidP="00A514AB">
      <w:pPr>
        <w:autoSpaceDE w:val="0"/>
        <w:autoSpaceDN w:val="0"/>
        <w:adjustRightInd w:val="0"/>
        <w:ind w:firstLine="708"/>
        <w:rPr>
          <w:color w:val="000000"/>
          <w:sz w:val="23"/>
          <w:szCs w:val="23"/>
        </w:rPr>
      </w:pPr>
      <w:r w:rsidRPr="00EA084D">
        <w:rPr>
          <w:color w:val="000000"/>
          <w:sz w:val="23"/>
          <w:szCs w:val="23"/>
        </w:rPr>
        <w:t xml:space="preserve">Talimatın tutar olarak verilmesi halinde ise, en son ilan edilen katılma payı satış fiyatından %20 marj düşülerek belirlenecek fiyat üzerinden talimat verilen tutara denk gelen katılma payı sayısı </w:t>
      </w:r>
      <w:proofErr w:type="spellStart"/>
      <w:r w:rsidRPr="00EA084D">
        <w:rPr>
          <w:color w:val="000000"/>
          <w:sz w:val="23"/>
          <w:szCs w:val="23"/>
        </w:rPr>
        <w:t>TEFAS’ta</w:t>
      </w:r>
      <w:proofErr w:type="spellEnd"/>
      <w:r w:rsidRPr="00EA084D">
        <w:rPr>
          <w:color w:val="000000"/>
          <w:sz w:val="23"/>
          <w:szCs w:val="23"/>
        </w:rPr>
        <w:t xml:space="preserve"> eşleştirilir. Nihai katılma payı adedi fon fiyatı açıklandıktan sonra hesaplanır. Tahsil edilen tutara eş değer adedin üstünde verilen katılma payı alım talimatları iptal edilir. </w:t>
      </w:r>
      <w:r w:rsidR="00DE1305">
        <w:rPr>
          <w:color w:val="000000"/>
          <w:sz w:val="23"/>
          <w:szCs w:val="23"/>
        </w:rPr>
        <w:t xml:space="preserve"> </w:t>
      </w:r>
    </w:p>
    <w:p w14:paraId="5522C767" w14:textId="77777777" w:rsidR="00D50771" w:rsidRDefault="00D50771" w:rsidP="00A514AB">
      <w:pPr>
        <w:ind w:firstLine="708"/>
        <w:rPr>
          <w:color w:val="000000"/>
          <w:sz w:val="23"/>
          <w:szCs w:val="23"/>
        </w:rPr>
      </w:pPr>
    </w:p>
    <w:p w14:paraId="5F06D4CB" w14:textId="3B4B5C5A" w:rsidR="00D7466A" w:rsidRDefault="00B233A8" w:rsidP="00A514AB">
      <w:pPr>
        <w:ind w:firstLine="708"/>
      </w:pPr>
      <w:r w:rsidRPr="00EA084D">
        <w:rPr>
          <w:color w:val="000000"/>
          <w:sz w:val="23"/>
          <w:szCs w:val="23"/>
        </w:rPr>
        <w:t>Alım talimatının karşılığında tahsil edilen tutar o gün için yatırımcı adına nemalandırılmak suretiyle bu izahnamede belirlenen esaslar çerçevesinde, katılma payı alımında kullanılır.</w:t>
      </w:r>
      <w:r w:rsidR="00D7466A" w:rsidRPr="00D7466A">
        <w:t xml:space="preserve"> </w:t>
      </w:r>
      <w:proofErr w:type="spellStart"/>
      <w:r w:rsidR="00D7466A">
        <w:t>TEFAS’ta</w:t>
      </w:r>
      <w:proofErr w:type="spellEnd"/>
      <w:r w:rsidR="00D7466A">
        <w:t xml:space="preserve"> gerçekleşen işlemlerde</w:t>
      </w:r>
      <w:r w:rsidR="00AE62D0" w:rsidRPr="00AE62D0">
        <w:t xml:space="preserve"> </w:t>
      </w:r>
      <w:r w:rsidR="00AE62D0">
        <w:t>uygulanacak nemalandırmada</w:t>
      </w:r>
      <w:r w:rsidR="00D7466A">
        <w:t xml:space="preserve"> dağıtıcı tarafından belirlenecek olan yatırım aracı kullanılacaktır. </w:t>
      </w:r>
    </w:p>
    <w:p w14:paraId="039B3BBD" w14:textId="2BE3C16B" w:rsidR="00B233A8" w:rsidRPr="00EC42EC" w:rsidRDefault="008C60BD" w:rsidP="00A514AB">
      <w:pPr>
        <w:ind w:firstLine="708"/>
        <w:rPr>
          <w:b/>
        </w:rPr>
      </w:pPr>
      <w:r>
        <w:rPr>
          <w:color w:val="000000"/>
          <w:sz w:val="23"/>
          <w:szCs w:val="23"/>
        </w:rPr>
        <w:t xml:space="preserve"> </w:t>
      </w:r>
    </w:p>
    <w:p w14:paraId="754F6E64" w14:textId="77777777" w:rsidR="00B233A8" w:rsidRPr="00EC42EC" w:rsidRDefault="00B233A8" w:rsidP="00B233A8">
      <w:pPr>
        <w:rPr>
          <w:b/>
          <w:vertAlign w:val="superscript"/>
        </w:rPr>
      </w:pPr>
      <w:r w:rsidRPr="00EC42EC">
        <w:rPr>
          <w:b/>
        </w:rPr>
        <w:tab/>
        <w:t>6.3. Katılma Payı Satım Esasları</w:t>
      </w:r>
    </w:p>
    <w:p w14:paraId="034ADD08" w14:textId="77777777" w:rsidR="00B233A8" w:rsidRPr="00EA084D" w:rsidRDefault="00B233A8" w:rsidP="00A514AB">
      <w:pPr>
        <w:autoSpaceDE w:val="0"/>
        <w:autoSpaceDN w:val="0"/>
        <w:adjustRightInd w:val="0"/>
        <w:ind w:firstLine="708"/>
        <w:rPr>
          <w:color w:val="000000"/>
          <w:sz w:val="23"/>
          <w:szCs w:val="23"/>
        </w:rPr>
      </w:pPr>
      <w:r w:rsidRPr="00EA084D">
        <w:rPr>
          <w:color w:val="000000"/>
          <w:sz w:val="23"/>
          <w:szCs w:val="23"/>
        </w:rPr>
        <w:t xml:space="preserve">Yatırımcıların BIST Pay Piyasası’nın açık olduğu günlerde saat 13:30’a kadar verdikleri katılma payı satım talimatları talimatın verilmesini takip eden ilk hesaplamada bulunacak pay fiyatı üzerinden yerine getirilir. </w:t>
      </w:r>
    </w:p>
    <w:p w14:paraId="6A0E2231" w14:textId="0E75788D" w:rsidR="00B233A8" w:rsidRPr="00EA084D" w:rsidRDefault="00B233A8" w:rsidP="00A514AB">
      <w:pPr>
        <w:autoSpaceDE w:val="0"/>
        <w:autoSpaceDN w:val="0"/>
        <w:adjustRightInd w:val="0"/>
        <w:ind w:firstLine="708"/>
        <w:rPr>
          <w:color w:val="000000"/>
          <w:sz w:val="23"/>
          <w:szCs w:val="23"/>
        </w:rPr>
      </w:pPr>
      <w:r w:rsidRPr="00EA084D">
        <w:rPr>
          <w:color w:val="000000"/>
          <w:sz w:val="23"/>
          <w:szCs w:val="23"/>
        </w:rPr>
        <w:t xml:space="preserve">BIST Pay Piyasası’nın açık olduğu günlerde saat 13:30’dan sonra iletilen talimatlar ise, ilk fiyat hesaplanmasından sonra verilmiş olarak kabul edilir ve izleyen hesaplamada bulunan pay fiyatı üzerinden yerine getirilir. </w:t>
      </w:r>
      <w:r w:rsidR="00DE1305">
        <w:rPr>
          <w:color w:val="000000"/>
          <w:sz w:val="23"/>
          <w:szCs w:val="23"/>
        </w:rPr>
        <w:t xml:space="preserve"> </w:t>
      </w:r>
    </w:p>
    <w:p w14:paraId="3B42AB0A" w14:textId="77777777" w:rsidR="00B233A8" w:rsidRPr="00EC42EC" w:rsidRDefault="00B233A8" w:rsidP="00B233A8">
      <w:pPr>
        <w:ind w:firstLine="708"/>
      </w:pPr>
      <w:r w:rsidRPr="00EA084D">
        <w:rPr>
          <w:color w:val="000000"/>
          <w:sz w:val="23"/>
          <w:szCs w:val="23"/>
        </w:rPr>
        <w:t>BIST Pay Piyasası’nın kapalı olduğu günlerde iletilen talimatlar izleyen ilk işgünü yapılacak ilk hesaplamada bulunacak pay fiyatı üzerinden gerçekleştirilir.</w:t>
      </w:r>
      <w:r w:rsidRPr="00EC42EC">
        <w:tab/>
      </w:r>
    </w:p>
    <w:p w14:paraId="07A86512" w14:textId="77777777" w:rsidR="00B233A8" w:rsidRPr="00EC42EC" w:rsidRDefault="00B233A8" w:rsidP="00B233A8">
      <w:pPr>
        <w:rPr>
          <w:b/>
        </w:rPr>
      </w:pPr>
    </w:p>
    <w:p w14:paraId="623A0D1F" w14:textId="77777777" w:rsidR="00B233A8" w:rsidRPr="00EC42EC" w:rsidRDefault="00B233A8" w:rsidP="00B233A8">
      <w:pPr>
        <w:rPr>
          <w:b/>
        </w:rPr>
      </w:pPr>
      <w:r w:rsidRPr="00EC42EC">
        <w:rPr>
          <w:b/>
        </w:rPr>
        <w:tab/>
        <w:t xml:space="preserve">6.4.Satım Bedellerinin Ödenme Esasları </w:t>
      </w:r>
    </w:p>
    <w:p w14:paraId="28D65256" w14:textId="77777777" w:rsidR="00D50771" w:rsidRDefault="00D50771" w:rsidP="00B233A8">
      <w:pPr>
        <w:pStyle w:val="BodyTextIndent"/>
        <w:ind w:left="0" w:firstLine="709"/>
        <w:rPr>
          <w:sz w:val="23"/>
          <w:szCs w:val="23"/>
        </w:rPr>
      </w:pPr>
    </w:p>
    <w:p w14:paraId="68165732" w14:textId="75598AC1" w:rsidR="00B233A8" w:rsidRDefault="00B233A8" w:rsidP="00B233A8">
      <w:pPr>
        <w:pStyle w:val="BodyTextIndent"/>
        <w:ind w:left="0" w:firstLine="709"/>
        <w:rPr>
          <w:sz w:val="23"/>
          <w:szCs w:val="23"/>
        </w:rPr>
      </w:pPr>
      <w:r>
        <w:rPr>
          <w:sz w:val="23"/>
          <w:szCs w:val="23"/>
        </w:rPr>
        <w:t>Katılma payı bedelleri; iade talimatının, BIST Pay Piyasası’nın açık olduğu günlerde saat 13:30’a kadar verilmesi halinde, talimatın verilmesini takip eden ikinci işlem gününde, iade talimatının B</w:t>
      </w:r>
      <w:r w:rsidR="00DE1305">
        <w:rPr>
          <w:sz w:val="23"/>
          <w:szCs w:val="23"/>
        </w:rPr>
        <w:t>I</w:t>
      </w:r>
      <w:r>
        <w:rPr>
          <w:sz w:val="23"/>
          <w:szCs w:val="23"/>
        </w:rPr>
        <w:t>ST Pay Piyasası’nın açık olduğu günlerde saat 13:30’dan sonra verilmesi halinde ise, talimatın verilmesini takip eden üçüncü işlem gününde yatırımcılara ödenir.</w:t>
      </w:r>
    </w:p>
    <w:p w14:paraId="64ABA809" w14:textId="77777777" w:rsidR="00030F33" w:rsidRPr="0073450D" w:rsidRDefault="00030F33" w:rsidP="00030F33">
      <w:pPr>
        <w:spacing w:after="120"/>
        <w:ind w:left="283" w:firstLine="709"/>
        <w:rPr>
          <w:b/>
          <w:bCs/>
        </w:rPr>
      </w:pPr>
      <w:r w:rsidRPr="0073450D">
        <w:rPr>
          <w:b/>
          <w:bCs/>
        </w:rPr>
        <w:t>Yurt içi piyasalarda yarım gün tatil olması durumunda, gerçekleşme valörü yarım güne denk gelen talimatlar, izleyen ilk iş günü gerçekleştirilir.</w:t>
      </w:r>
    </w:p>
    <w:p w14:paraId="525A1385" w14:textId="77777777" w:rsidR="00030F33" w:rsidRDefault="00030F33" w:rsidP="00B233A8">
      <w:pPr>
        <w:pStyle w:val="BodyTextIndent"/>
        <w:ind w:left="0" w:firstLine="709"/>
        <w:rPr>
          <w:sz w:val="23"/>
          <w:szCs w:val="23"/>
        </w:rPr>
      </w:pPr>
    </w:p>
    <w:p w14:paraId="3C1BF973" w14:textId="77777777" w:rsidR="00B233A8" w:rsidRPr="00EC42EC" w:rsidRDefault="00B233A8" w:rsidP="00D50771">
      <w:pPr>
        <w:ind w:firstLine="708"/>
        <w:rPr>
          <w:b/>
        </w:rPr>
      </w:pPr>
      <w:r w:rsidRPr="00EC42EC">
        <w:rPr>
          <w:b/>
        </w:rPr>
        <w:t>6.</w:t>
      </w:r>
      <w:r>
        <w:rPr>
          <w:b/>
        </w:rPr>
        <w:t>5</w:t>
      </w:r>
      <w:r w:rsidRPr="00EC42EC">
        <w:rPr>
          <w:b/>
        </w:rPr>
        <w:t>. Alım Satıma Aracılık Eden Kuruluşlar ve Alım Satım Yerleri:</w:t>
      </w:r>
      <w:r w:rsidRPr="00DD68A9">
        <w:rPr>
          <w:rStyle w:val="FootnoteReference"/>
        </w:rPr>
        <w:t xml:space="preserve"> </w:t>
      </w:r>
    </w:p>
    <w:p w14:paraId="3A70EE88" w14:textId="77777777" w:rsidR="00D50771" w:rsidRDefault="00D50771" w:rsidP="00B233A8">
      <w:pPr>
        <w:ind w:firstLine="708"/>
      </w:pPr>
    </w:p>
    <w:p w14:paraId="183D73EA" w14:textId="41216D75" w:rsidR="00B233A8" w:rsidRDefault="00B233A8" w:rsidP="00B233A8">
      <w:pPr>
        <w:ind w:firstLine="708"/>
        <w:rPr>
          <w:b/>
        </w:rPr>
      </w:pPr>
      <w:r w:rsidRPr="00EC42EC">
        <w:t xml:space="preserve">Katılma paylarının alım ve satımı kurucunun yanı sıra </w:t>
      </w:r>
      <w:proofErr w:type="spellStart"/>
      <w:r w:rsidRPr="00EC42EC">
        <w:t>TE</w:t>
      </w:r>
      <w:r>
        <w:t>FAS’a</w:t>
      </w:r>
      <w:proofErr w:type="spellEnd"/>
      <w:r w:rsidRPr="00EC42EC">
        <w:t xml:space="preserve"> üye olan fon dağıtım kuruluşları aracılığıyla da yapılır. Üye kuruluşlara aşağıda yer alan linkten ulaşılması mümkündür</w:t>
      </w:r>
      <w:r w:rsidRPr="00764CAE">
        <w:rPr>
          <w:b/>
        </w:rPr>
        <w:t>.</w:t>
      </w:r>
      <w:r>
        <w:rPr>
          <w:b/>
        </w:rPr>
        <w:t xml:space="preserve">    </w:t>
      </w:r>
    </w:p>
    <w:p w14:paraId="0894A842" w14:textId="77777777" w:rsidR="00B233A8" w:rsidRPr="00EC42EC" w:rsidRDefault="00B233A8" w:rsidP="00B233A8">
      <w:pPr>
        <w:ind w:firstLine="708"/>
      </w:pPr>
    </w:p>
    <w:p w14:paraId="4A07B40F" w14:textId="7D25A9B7" w:rsidR="00B233A8" w:rsidRDefault="000102C1" w:rsidP="00B233A8">
      <w:pPr>
        <w:ind w:firstLine="708"/>
        <w:rPr>
          <w:rStyle w:val="Hyperlink"/>
          <w:b/>
        </w:rPr>
      </w:pPr>
      <w:hyperlink r:id="rId16" w:history="1">
        <w:r w:rsidR="00B233A8" w:rsidRPr="001E2D83">
          <w:rPr>
            <w:rStyle w:val="Hyperlink"/>
            <w:b/>
          </w:rPr>
          <w:t>http://www.takasbank.com.tr/tr/Sayfalar/TEFAS-Uyeler.aspx</w:t>
        </w:r>
      </w:hyperlink>
    </w:p>
    <w:p w14:paraId="28ECD668" w14:textId="20EA1040" w:rsidR="007A42AA" w:rsidRDefault="007A42AA" w:rsidP="00B233A8">
      <w:pPr>
        <w:ind w:firstLine="708"/>
        <w:rPr>
          <w:rStyle w:val="Hyperlink"/>
          <w:b/>
        </w:rPr>
      </w:pPr>
    </w:p>
    <w:p w14:paraId="4D51D8D8" w14:textId="2D2750DA" w:rsidR="007A42AA" w:rsidRDefault="007A42AA" w:rsidP="007A42AA">
      <w:pPr>
        <w:ind w:left="284" w:right="572" w:firstLine="424"/>
        <w:rPr>
          <w:bCs/>
        </w:rPr>
      </w:pPr>
      <w:r w:rsidRPr="00AF2F5D">
        <w:rPr>
          <w:bCs/>
        </w:rPr>
        <w:t>Kurucu ile aktif pazarlama ve dağıtım sözleşmesi imzalamış olan kurumların unvanı ve iletişim bilgileri aşağıda yer almaktadır:</w:t>
      </w:r>
    </w:p>
    <w:p w14:paraId="58558F57" w14:textId="6568D5C5" w:rsidR="007A42AA" w:rsidRDefault="007A42AA" w:rsidP="007A42AA">
      <w:pPr>
        <w:ind w:left="284" w:right="572" w:firstLine="424"/>
        <w:rPr>
          <w:bCs/>
        </w:rPr>
      </w:pPr>
    </w:p>
    <w:tbl>
      <w:tblPr>
        <w:tblStyle w:val="TableGrid"/>
        <w:tblW w:w="0" w:type="auto"/>
        <w:tblInd w:w="704" w:type="dxa"/>
        <w:tblLook w:val="04A0" w:firstRow="1" w:lastRow="0" w:firstColumn="1" w:lastColumn="0" w:noHBand="0" w:noVBand="1"/>
      </w:tblPr>
      <w:tblGrid>
        <w:gridCol w:w="2410"/>
        <w:gridCol w:w="6417"/>
      </w:tblGrid>
      <w:tr w:rsidR="007A42AA" w:rsidRPr="00D260BC" w14:paraId="6687B6AA" w14:textId="77777777" w:rsidTr="00C97B2C">
        <w:tc>
          <w:tcPr>
            <w:tcW w:w="2410" w:type="dxa"/>
          </w:tcPr>
          <w:p w14:paraId="12F10292" w14:textId="77777777" w:rsidR="007A42AA" w:rsidRPr="00AF2F5D" w:rsidRDefault="007A42AA" w:rsidP="00C97B2C">
            <w:pPr>
              <w:rPr>
                <w:b/>
              </w:rPr>
            </w:pPr>
            <w:r w:rsidRPr="00AF2F5D">
              <w:rPr>
                <w:b/>
              </w:rPr>
              <w:t>Unvan</w:t>
            </w:r>
          </w:p>
        </w:tc>
        <w:tc>
          <w:tcPr>
            <w:tcW w:w="6417" w:type="dxa"/>
          </w:tcPr>
          <w:p w14:paraId="42FC5CFA" w14:textId="77777777" w:rsidR="007A42AA" w:rsidRPr="00AF2F5D" w:rsidRDefault="007A42AA" w:rsidP="00C97B2C">
            <w:pPr>
              <w:rPr>
                <w:b/>
              </w:rPr>
            </w:pPr>
            <w:r w:rsidRPr="00AF2F5D">
              <w:rPr>
                <w:b/>
              </w:rPr>
              <w:t>İletişim Bilgileri</w:t>
            </w:r>
          </w:p>
        </w:tc>
      </w:tr>
      <w:tr w:rsidR="007A42AA" w:rsidRPr="00D260BC" w14:paraId="34FB0899" w14:textId="77777777" w:rsidTr="00C97B2C">
        <w:tc>
          <w:tcPr>
            <w:tcW w:w="2410" w:type="dxa"/>
          </w:tcPr>
          <w:p w14:paraId="216CE606" w14:textId="77777777" w:rsidR="007A42AA" w:rsidRPr="00E750A5" w:rsidRDefault="007A42AA" w:rsidP="00C97B2C">
            <w:pPr>
              <w:rPr>
                <w:bCs/>
              </w:rPr>
            </w:pPr>
            <w:r w:rsidRPr="00E750A5">
              <w:rPr>
                <w:bCs/>
              </w:rPr>
              <w:t>Ak Portföy Yönetimi A.Ş.</w:t>
            </w:r>
          </w:p>
        </w:tc>
        <w:tc>
          <w:tcPr>
            <w:tcW w:w="6417" w:type="dxa"/>
          </w:tcPr>
          <w:p w14:paraId="69C13AD6" w14:textId="77777777" w:rsidR="007A42AA" w:rsidRPr="00E750A5" w:rsidRDefault="007A42AA" w:rsidP="00C97B2C">
            <w:pPr>
              <w:rPr>
                <w:bCs/>
              </w:rPr>
            </w:pPr>
            <w:r w:rsidRPr="00E750A5">
              <w:rPr>
                <w:bCs/>
              </w:rPr>
              <w:t>Sabancı Center Kule:2 Kat:12 4.Levent 34330 Beşiktaş/İSTANBUL</w:t>
            </w:r>
          </w:p>
        </w:tc>
      </w:tr>
      <w:tr w:rsidR="001F4FB8" w:rsidRPr="00D260BC" w14:paraId="628EF626" w14:textId="77777777" w:rsidTr="00C97B2C">
        <w:tc>
          <w:tcPr>
            <w:tcW w:w="2410" w:type="dxa"/>
          </w:tcPr>
          <w:p w14:paraId="0D6DE0BE" w14:textId="38C5CEEF" w:rsidR="001F4FB8" w:rsidRPr="00E750A5" w:rsidRDefault="001F4FB8" w:rsidP="00C97B2C">
            <w:pPr>
              <w:rPr>
                <w:bCs/>
              </w:rPr>
            </w:pPr>
            <w:r w:rsidRPr="00E750A5">
              <w:rPr>
                <w:bCs/>
              </w:rPr>
              <w:t>Aktif Yatırım Bankası A.Ş.</w:t>
            </w:r>
          </w:p>
        </w:tc>
        <w:tc>
          <w:tcPr>
            <w:tcW w:w="6417" w:type="dxa"/>
          </w:tcPr>
          <w:p w14:paraId="4B53A287" w14:textId="5DDAEC1C" w:rsidR="001F4FB8" w:rsidRPr="00E750A5" w:rsidRDefault="001F4FB8" w:rsidP="00C97B2C">
            <w:pPr>
              <w:rPr>
                <w:bCs/>
              </w:rPr>
            </w:pPr>
            <w:r w:rsidRPr="00E750A5">
              <w:rPr>
                <w:bCs/>
              </w:rPr>
              <w:t xml:space="preserve">Esentepe, Büyükdere </w:t>
            </w:r>
            <w:proofErr w:type="spellStart"/>
            <w:r w:rsidRPr="00E750A5">
              <w:rPr>
                <w:bCs/>
              </w:rPr>
              <w:t>Cd</w:t>
            </w:r>
            <w:proofErr w:type="spellEnd"/>
            <w:r w:rsidRPr="00E750A5">
              <w:rPr>
                <w:bCs/>
              </w:rPr>
              <w:t>. No: 163, 34394 Şişli/İstanbul</w:t>
            </w:r>
          </w:p>
        </w:tc>
      </w:tr>
      <w:tr w:rsidR="001F4FB8" w:rsidRPr="00D260BC" w14:paraId="41786E28" w14:textId="77777777" w:rsidTr="00C97B2C">
        <w:tc>
          <w:tcPr>
            <w:tcW w:w="2410" w:type="dxa"/>
          </w:tcPr>
          <w:p w14:paraId="29C8D9AF" w14:textId="7BB08006" w:rsidR="001F4FB8" w:rsidRPr="00E750A5" w:rsidRDefault="001F4FB8" w:rsidP="00C97B2C">
            <w:pPr>
              <w:rPr>
                <w:bCs/>
              </w:rPr>
            </w:pPr>
            <w:proofErr w:type="spellStart"/>
            <w:r w:rsidRPr="00E750A5">
              <w:rPr>
                <w:bCs/>
              </w:rPr>
              <w:t>Alnus</w:t>
            </w:r>
            <w:proofErr w:type="spellEnd"/>
            <w:r w:rsidRPr="00E750A5">
              <w:rPr>
                <w:bCs/>
              </w:rPr>
              <w:t xml:space="preserve"> Yatırım Menkul Değerler A.Ş.</w:t>
            </w:r>
          </w:p>
        </w:tc>
        <w:tc>
          <w:tcPr>
            <w:tcW w:w="6417" w:type="dxa"/>
          </w:tcPr>
          <w:p w14:paraId="1953DE00" w14:textId="3CA5B47F" w:rsidR="001F4FB8" w:rsidRPr="00E750A5" w:rsidRDefault="001F4FB8" w:rsidP="00C97B2C">
            <w:pPr>
              <w:rPr>
                <w:bCs/>
              </w:rPr>
            </w:pPr>
            <w:r w:rsidRPr="00E750A5">
              <w:rPr>
                <w:bCs/>
              </w:rPr>
              <w:t xml:space="preserve">Esentepe, Haberler </w:t>
            </w:r>
            <w:proofErr w:type="spellStart"/>
            <w:r w:rsidRPr="00E750A5">
              <w:rPr>
                <w:bCs/>
              </w:rPr>
              <w:t>Sk</w:t>
            </w:r>
            <w:proofErr w:type="spellEnd"/>
            <w:r w:rsidRPr="00E750A5">
              <w:rPr>
                <w:bCs/>
              </w:rPr>
              <w:t>. No:10, 34394 Şişli/İstanbul</w:t>
            </w:r>
          </w:p>
        </w:tc>
      </w:tr>
      <w:tr w:rsidR="001F4FB8" w:rsidRPr="00D260BC" w14:paraId="34A88521" w14:textId="77777777" w:rsidTr="00C97B2C">
        <w:tc>
          <w:tcPr>
            <w:tcW w:w="2410" w:type="dxa"/>
          </w:tcPr>
          <w:p w14:paraId="2942C2F3" w14:textId="4147CECB" w:rsidR="001F4FB8" w:rsidRPr="00E750A5" w:rsidRDefault="001F4FB8" w:rsidP="00C97B2C">
            <w:pPr>
              <w:rPr>
                <w:bCs/>
              </w:rPr>
            </w:pPr>
            <w:r w:rsidRPr="00E750A5">
              <w:rPr>
                <w:bCs/>
              </w:rPr>
              <w:t>Azimut Portföy Yönetimi A.Ş.</w:t>
            </w:r>
          </w:p>
        </w:tc>
        <w:tc>
          <w:tcPr>
            <w:tcW w:w="6417" w:type="dxa"/>
          </w:tcPr>
          <w:p w14:paraId="013DA325" w14:textId="5D91AEF2" w:rsidR="001F4FB8" w:rsidRPr="00E750A5" w:rsidRDefault="001F4FB8" w:rsidP="00C97B2C">
            <w:pPr>
              <w:rPr>
                <w:bCs/>
              </w:rPr>
            </w:pPr>
            <w:r w:rsidRPr="00E750A5">
              <w:rPr>
                <w:bCs/>
              </w:rPr>
              <w:t xml:space="preserve">Esentepe, Büyükdere </w:t>
            </w:r>
            <w:proofErr w:type="spellStart"/>
            <w:r w:rsidRPr="00E750A5">
              <w:rPr>
                <w:bCs/>
              </w:rPr>
              <w:t>Cd</w:t>
            </w:r>
            <w:proofErr w:type="spellEnd"/>
            <w:r w:rsidRPr="00E750A5">
              <w:rPr>
                <w:bCs/>
              </w:rPr>
              <w:t>. NO:127, 34394 Şişli/İstanbul</w:t>
            </w:r>
          </w:p>
        </w:tc>
      </w:tr>
      <w:tr w:rsidR="001F4FB8" w:rsidRPr="00D260BC" w14:paraId="10D9A3C1" w14:textId="77777777" w:rsidTr="00C97B2C">
        <w:tc>
          <w:tcPr>
            <w:tcW w:w="2410" w:type="dxa"/>
          </w:tcPr>
          <w:p w14:paraId="4D84F676" w14:textId="004136A6" w:rsidR="001F4FB8" w:rsidRPr="00E750A5" w:rsidRDefault="001F4FB8" w:rsidP="00C97B2C">
            <w:pPr>
              <w:rPr>
                <w:bCs/>
              </w:rPr>
            </w:pPr>
            <w:proofErr w:type="spellStart"/>
            <w:r w:rsidRPr="00E750A5">
              <w:rPr>
                <w:bCs/>
              </w:rPr>
              <w:t>Odea</w:t>
            </w:r>
            <w:proofErr w:type="spellEnd"/>
            <w:r w:rsidRPr="00E750A5">
              <w:rPr>
                <w:bCs/>
              </w:rPr>
              <w:t xml:space="preserve"> Bank A.Ş.</w:t>
            </w:r>
          </w:p>
        </w:tc>
        <w:tc>
          <w:tcPr>
            <w:tcW w:w="6417" w:type="dxa"/>
          </w:tcPr>
          <w:p w14:paraId="00EFF6BF" w14:textId="3EF0039B" w:rsidR="001F4FB8" w:rsidRPr="00E750A5" w:rsidRDefault="001F4FB8" w:rsidP="00C97B2C">
            <w:pPr>
              <w:rPr>
                <w:bCs/>
              </w:rPr>
            </w:pPr>
            <w:r w:rsidRPr="00E750A5">
              <w:rPr>
                <w:bCs/>
              </w:rPr>
              <w:t xml:space="preserve">Atatürk, Alemdağ </w:t>
            </w:r>
            <w:proofErr w:type="spellStart"/>
            <w:r w:rsidRPr="00E750A5">
              <w:rPr>
                <w:bCs/>
              </w:rPr>
              <w:t>Cd</w:t>
            </w:r>
            <w:proofErr w:type="spellEnd"/>
            <w:r w:rsidRPr="00E750A5">
              <w:rPr>
                <w:bCs/>
              </w:rPr>
              <w:t xml:space="preserve"> No:50 D:52A, 34764 Ümraniye/İstanbul</w:t>
            </w:r>
          </w:p>
        </w:tc>
      </w:tr>
      <w:tr w:rsidR="001F4FB8" w:rsidRPr="00D260BC" w14:paraId="64575819" w14:textId="77777777" w:rsidTr="00C97B2C">
        <w:tc>
          <w:tcPr>
            <w:tcW w:w="2410" w:type="dxa"/>
          </w:tcPr>
          <w:p w14:paraId="1F4FC095" w14:textId="6ED9A23E" w:rsidR="001F4FB8" w:rsidRPr="00E750A5" w:rsidRDefault="001F4FB8" w:rsidP="00C97B2C">
            <w:pPr>
              <w:rPr>
                <w:bCs/>
              </w:rPr>
            </w:pPr>
            <w:r w:rsidRPr="00E750A5">
              <w:rPr>
                <w:bCs/>
              </w:rPr>
              <w:t>Tacirler Yatırım Menkul Değerler A.Ş.</w:t>
            </w:r>
          </w:p>
        </w:tc>
        <w:tc>
          <w:tcPr>
            <w:tcW w:w="6417" w:type="dxa"/>
          </w:tcPr>
          <w:p w14:paraId="519BE2C4" w14:textId="7BD14D5D" w:rsidR="001F4FB8" w:rsidRPr="00E750A5" w:rsidRDefault="001F4FB8" w:rsidP="00C97B2C">
            <w:pPr>
              <w:rPr>
                <w:bCs/>
              </w:rPr>
            </w:pPr>
            <w:proofErr w:type="spellStart"/>
            <w:r w:rsidRPr="00E750A5">
              <w:rPr>
                <w:bCs/>
              </w:rPr>
              <w:t>Nisbetiye</w:t>
            </w:r>
            <w:proofErr w:type="spellEnd"/>
            <w:r w:rsidRPr="00E750A5">
              <w:rPr>
                <w:bCs/>
              </w:rPr>
              <w:t xml:space="preserve"> </w:t>
            </w:r>
            <w:proofErr w:type="spellStart"/>
            <w:r w:rsidRPr="00E750A5">
              <w:rPr>
                <w:bCs/>
              </w:rPr>
              <w:t>Cad.Akmerkez</w:t>
            </w:r>
            <w:proofErr w:type="spellEnd"/>
            <w:r w:rsidRPr="00E750A5">
              <w:rPr>
                <w:bCs/>
              </w:rPr>
              <w:t xml:space="preserve"> B3 Blok Kat:9 Etiler/İstanbul</w:t>
            </w:r>
          </w:p>
        </w:tc>
      </w:tr>
      <w:tr w:rsidR="001F4FB8" w:rsidRPr="00D260BC" w14:paraId="39F0FA0F" w14:textId="77777777" w:rsidTr="00C97B2C">
        <w:tc>
          <w:tcPr>
            <w:tcW w:w="2410" w:type="dxa"/>
          </w:tcPr>
          <w:p w14:paraId="5095CD72" w14:textId="19E2D5D9" w:rsidR="001F4FB8" w:rsidRPr="00E750A5" w:rsidRDefault="001F4FB8" w:rsidP="00C97B2C">
            <w:pPr>
              <w:rPr>
                <w:bCs/>
              </w:rPr>
            </w:pPr>
            <w:proofErr w:type="spellStart"/>
            <w:r w:rsidRPr="00E750A5">
              <w:rPr>
                <w:bCs/>
              </w:rPr>
              <w:t>Trive</w:t>
            </w:r>
            <w:proofErr w:type="spellEnd"/>
            <w:r w:rsidRPr="00E750A5">
              <w:rPr>
                <w:bCs/>
              </w:rPr>
              <w:t xml:space="preserve"> Yatırım Menkul Değerler A.Ş.</w:t>
            </w:r>
          </w:p>
        </w:tc>
        <w:tc>
          <w:tcPr>
            <w:tcW w:w="6417" w:type="dxa"/>
          </w:tcPr>
          <w:p w14:paraId="1DF77930" w14:textId="43E8D689" w:rsidR="001F4FB8" w:rsidRPr="00E750A5" w:rsidRDefault="00E750A5" w:rsidP="00C97B2C">
            <w:pPr>
              <w:rPr>
                <w:bCs/>
              </w:rPr>
            </w:pPr>
            <w:r w:rsidRPr="00E750A5">
              <w:rPr>
                <w:bCs/>
              </w:rPr>
              <w:t xml:space="preserve">Reşitpaşa </w:t>
            </w:r>
            <w:proofErr w:type="spellStart"/>
            <w:r w:rsidRPr="00E750A5">
              <w:rPr>
                <w:bCs/>
              </w:rPr>
              <w:t>Mah</w:t>
            </w:r>
            <w:proofErr w:type="spellEnd"/>
            <w:r w:rsidRPr="00E750A5">
              <w:rPr>
                <w:bCs/>
              </w:rPr>
              <w:t xml:space="preserve">, Eski Büyükdere </w:t>
            </w:r>
            <w:proofErr w:type="spellStart"/>
            <w:r w:rsidRPr="00E750A5">
              <w:rPr>
                <w:bCs/>
              </w:rPr>
              <w:t>Cd</w:t>
            </w:r>
            <w:proofErr w:type="spellEnd"/>
            <w:r w:rsidRPr="00E750A5">
              <w:rPr>
                <w:bCs/>
              </w:rPr>
              <w:t>. No:2 Kat: 5-6, 34396 Sarıyer/İstanbul</w:t>
            </w:r>
          </w:p>
        </w:tc>
      </w:tr>
      <w:tr w:rsidR="001F4FB8" w:rsidRPr="00D260BC" w14:paraId="18547D49" w14:textId="77777777" w:rsidTr="00C97B2C">
        <w:tc>
          <w:tcPr>
            <w:tcW w:w="2410" w:type="dxa"/>
          </w:tcPr>
          <w:p w14:paraId="3CE0B44F" w14:textId="76BA9DBD" w:rsidR="001F4FB8" w:rsidRPr="00E750A5" w:rsidRDefault="001F4FB8" w:rsidP="00C97B2C">
            <w:pPr>
              <w:rPr>
                <w:bCs/>
              </w:rPr>
            </w:pPr>
            <w:r w:rsidRPr="00E750A5">
              <w:rPr>
                <w:bCs/>
              </w:rPr>
              <w:t>Neo Portföy Yönetimi A.Ş.</w:t>
            </w:r>
          </w:p>
        </w:tc>
        <w:tc>
          <w:tcPr>
            <w:tcW w:w="6417" w:type="dxa"/>
          </w:tcPr>
          <w:p w14:paraId="137205C8" w14:textId="663D41B9" w:rsidR="001F4FB8" w:rsidRPr="00E750A5" w:rsidRDefault="00E750A5" w:rsidP="00C97B2C">
            <w:pPr>
              <w:rPr>
                <w:bCs/>
              </w:rPr>
            </w:pPr>
            <w:r w:rsidRPr="00E750A5">
              <w:rPr>
                <w:bCs/>
              </w:rPr>
              <w:t>Esentepe Mah. Büyükdere Cad. Metrocity İş Merkezi A Blok No:171 K:22 Levent/ŞİŞLİ/ İSTANBUL</w:t>
            </w:r>
          </w:p>
        </w:tc>
      </w:tr>
    </w:tbl>
    <w:p w14:paraId="01DDC641" w14:textId="77777777" w:rsidR="007A42AA" w:rsidRPr="00AF2F5D" w:rsidRDefault="007A42AA" w:rsidP="007A42AA">
      <w:pPr>
        <w:ind w:left="284" w:right="572" w:firstLine="424"/>
        <w:rPr>
          <w:bCs/>
        </w:rPr>
      </w:pPr>
    </w:p>
    <w:p w14:paraId="4E7E3121" w14:textId="77777777" w:rsidR="007A42AA" w:rsidRDefault="007A42AA" w:rsidP="00B233A8">
      <w:pPr>
        <w:ind w:firstLine="708"/>
        <w:rPr>
          <w:b/>
        </w:rPr>
      </w:pPr>
    </w:p>
    <w:p w14:paraId="48FC82E0" w14:textId="77777777" w:rsidR="00B233A8" w:rsidRPr="00EC42EC" w:rsidRDefault="00B233A8" w:rsidP="00B233A8">
      <w:pPr>
        <w:pStyle w:val="Heading2"/>
        <w:ind w:firstLine="709"/>
        <w:rPr>
          <w:rFonts w:cs="Times New Roman"/>
          <w:sz w:val="24"/>
          <w:szCs w:val="24"/>
        </w:rPr>
      </w:pPr>
      <w:r w:rsidRPr="00EC42EC">
        <w:rPr>
          <w:rFonts w:cs="Times New Roman"/>
          <w:sz w:val="24"/>
          <w:szCs w:val="24"/>
        </w:rPr>
        <w:t>VII. FON MALVARLIĞINDAN KARŞILANACAK HARCAMALAR VE KURUCU’NUN KARŞILADIĞI GİDERLER:</w:t>
      </w:r>
    </w:p>
    <w:p w14:paraId="34D1B2D8" w14:textId="77777777" w:rsidR="006E0F46" w:rsidRDefault="006E0F46" w:rsidP="00B233A8">
      <w:pPr>
        <w:ind w:firstLine="567"/>
        <w:rPr>
          <w:b/>
          <w:u w:val="single"/>
        </w:rPr>
      </w:pPr>
    </w:p>
    <w:p w14:paraId="16AE450D" w14:textId="4B7A7B1C" w:rsidR="00B233A8" w:rsidRPr="00EC42EC" w:rsidRDefault="00B233A8" w:rsidP="00B233A8">
      <w:pPr>
        <w:ind w:firstLine="567"/>
      </w:pPr>
      <w:r w:rsidRPr="00EC42EC">
        <w:rPr>
          <w:b/>
          <w:u w:val="single"/>
        </w:rPr>
        <w:t>7.1.</w:t>
      </w:r>
      <w:r w:rsidRPr="00EC42EC">
        <w:rPr>
          <w:u w:val="single"/>
        </w:rPr>
        <w:t xml:space="preserve"> </w:t>
      </w:r>
      <w:r w:rsidRPr="00EC42EC">
        <w:rPr>
          <w:b/>
          <w:u w:val="single"/>
        </w:rPr>
        <w:t>Fonun Malvarlığından Karşılanan Harcamalar</w:t>
      </w:r>
    </w:p>
    <w:p w14:paraId="369BCFC7" w14:textId="77777777" w:rsidR="00B233A8" w:rsidRPr="00EC42EC" w:rsidRDefault="00B233A8" w:rsidP="00B233A8">
      <w:pPr>
        <w:ind w:firstLine="709"/>
      </w:pPr>
    </w:p>
    <w:p w14:paraId="127EC6C9" w14:textId="77777777" w:rsidR="00B233A8" w:rsidRPr="00EC42EC" w:rsidRDefault="00B233A8" w:rsidP="00B233A8">
      <w:pPr>
        <w:ind w:right="-285" w:firstLine="567"/>
      </w:pPr>
      <w:r w:rsidRPr="00EC42EC">
        <w:t>Fon varlığından yapılabilecek harcamalar aşağıda yer almaktadır.</w:t>
      </w:r>
    </w:p>
    <w:p w14:paraId="249CB70E" w14:textId="77777777" w:rsidR="00B233A8" w:rsidRPr="00EC42EC" w:rsidRDefault="00B233A8" w:rsidP="00B233A8">
      <w:pPr>
        <w:tabs>
          <w:tab w:val="left" w:pos="851"/>
        </w:tabs>
        <w:ind w:left="567" w:right="-285"/>
      </w:pPr>
      <w:r w:rsidRPr="00EC42EC">
        <w:t>1) Saklama hizmetleri için ödenen her türlü ücretler,</w:t>
      </w:r>
    </w:p>
    <w:p w14:paraId="2B276A1B" w14:textId="77777777" w:rsidR="00B233A8" w:rsidRPr="00EC42EC" w:rsidRDefault="00B233A8" w:rsidP="00B233A8">
      <w:pPr>
        <w:tabs>
          <w:tab w:val="left" w:pos="851"/>
        </w:tabs>
        <w:ind w:left="567" w:right="-285"/>
      </w:pPr>
      <w:r w:rsidRPr="00EC42EC">
        <w:t>2) Varlıkların nakde çevrilmesi ve transferinde ödenen her türlü vergi, resim ve komisyonlar,</w:t>
      </w:r>
    </w:p>
    <w:p w14:paraId="221E555E" w14:textId="77777777" w:rsidR="00B233A8" w:rsidRPr="00EC42EC" w:rsidRDefault="00B233A8" w:rsidP="00B233A8">
      <w:pPr>
        <w:tabs>
          <w:tab w:val="left" w:pos="851"/>
        </w:tabs>
        <w:ind w:left="567" w:right="-285"/>
      </w:pPr>
      <w:r w:rsidRPr="00EC42EC">
        <w:t>3) Alınan kredilerin faizi,</w:t>
      </w:r>
    </w:p>
    <w:p w14:paraId="00BDBC89" w14:textId="464F7131" w:rsidR="00B233A8" w:rsidRPr="00EC42EC" w:rsidRDefault="00B233A8" w:rsidP="00B233A8">
      <w:pPr>
        <w:tabs>
          <w:tab w:val="left" w:pos="851"/>
        </w:tabs>
        <w:ind w:left="567" w:right="-285"/>
      </w:pPr>
      <w:r w:rsidRPr="00EC42EC">
        <w:t xml:space="preserve">4) Portföye alımlarda ve portföyden satımlarda ödenen </w:t>
      </w:r>
      <w:r>
        <w:t>aracılık komisyonları</w:t>
      </w:r>
      <w:r w:rsidRPr="00EC42EC">
        <w:t xml:space="preserve">, </w:t>
      </w:r>
    </w:p>
    <w:p w14:paraId="09F68EE4" w14:textId="77777777" w:rsidR="00B233A8" w:rsidRPr="00EC42EC" w:rsidRDefault="00B233A8" w:rsidP="00B233A8">
      <w:pPr>
        <w:tabs>
          <w:tab w:val="left" w:pos="851"/>
        </w:tabs>
        <w:ind w:left="567" w:right="-285"/>
      </w:pPr>
      <w:r w:rsidRPr="00EC42EC">
        <w:t>5) Portföy yönetim ücreti,</w:t>
      </w:r>
    </w:p>
    <w:p w14:paraId="52D4805E" w14:textId="77777777" w:rsidR="00B233A8" w:rsidRPr="00EC42EC" w:rsidRDefault="00B233A8" w:rsidP="00B233A8">
      <w:pPr>
        <w:tabs>
          <w:tab w:val="left" w:pos="851"/>
        </w:tabs>
        <w:ind w:left="567" w:right="-285"/>
      </w:pPr>
      <w:r w:rsidRPr="00EC42EC">
        <w:t>6) Fonun mükellefi olduğu vergi,</w:t>
      </w:r>
    </w:p>
    <w:p w14:paraId="3D4D7CB0" w14:textId="77777777" w:rsidR="00B233A8" w:rsidRPr="00EC42EC" w:rsidRDefault="00B233A8" w:rsidP="00B233A8">
      <w:pPr>
        <w:tabs>
          <w:tab w:val="left" w:pos="851"/>
        </w:tabs>
        <w:ind w:left="567" w:right="-285"/>
      </w:pPr>
      <w:r w:rsidRPr="00EC42EC">
        <w:lastRenderedPageBreak/>
        <w:t>7) Bağımsız denetim kuruluşlarına ödenen denetim ücreti,</w:t>
      </w:r>
    </w:p>
    <w:p w14:paraId="60B548B2" w14:textId="77777777" w:rsidR="00B233A8" w:rsidRPr="00EC42EC" w:rsidRDefault="00B233A8" w:rsidP="00B233A8">
      <w:pPr>
        <w:tabs>
          <w:tab w:val="left" w:pos="851"/>
        </w:tabs>
        <w:ind w:left="567" w:right="-285"/>
      </w:pPr>
      <w:r w:rsidRPr="00EC42EC">
        <w:t>8) Mevzuat gereği yapılması zorunlu ilan giderleri,</w:t>
      </w:r>
    </w:p>
    <w:p w14:paraId="25B2CFEC" w14:textId="77777777" w:rsidR="00B233A8" w:rsidRPr="00EC42EC" w:rsidRDefault="00B233A8" w:rsidP="00B233A8">
      <w:pPr>
        <w:tabs>
          <w:tab w:val="left" w:pos="851"/>
        </w:tabs>
        <w:ind w:left="567" w:right="-285"/>
      </w:pPr>
      <w:r w:rsidRPr="00EC42EC">
        <w:t>9) Takvim yılı esas alınarak üçer aylık dönemlerin son iş gününde fonun toplam değeri üzerinden hesaplanacak Kurul ücreti,</w:t>
      </w:r>
    </w:p>
    <w:p w14:paraId="57DF62DB" w14:textId="77777777" w:rsidR="00B233A8" w:rsidRPr="00DE1305" w:rsidRDefault="00B233A8" w:rsidP="00B233A8">
      <w:pPr>
        <w:tabs>
          <w:tab w:val="left" w:pos="851"/>
        </w:tabs>
        <w:ind w:left="567" w:right="-285"/>
      </w:pPr>
      <w:r w:rsidRPr="00DE1305">
        <w:t>10) Karşılaştırma ölçütü giderleri,</w:t>
      </w:r>
    </w:p>
    <w:p w14:paraId="2FE04865" w14:textId="77777777" w:rsidR="00B233A8" w:rsidRPr="00DE1305" w:rsidRDefault="00B233A8" w:rsidP="00B233A8">
      <w:pPr>
        <w:tabs>
          <w:tab w:val="left" w:pos="851"/>
        </w:tabs>
        <w:ind w:left="567" w:right="-285"/>
      </w:pPr>
      <w:r w:rsidRPr="00DE1305">
        <w:t>11) KAP giderleri,</w:t>
      </w:r>
    </w:p>
    <w:p w14:paraId="4A46268E" w14:textId="77777777" w:rsidR="00B233A8" w:rsidRPr="00A514AB" w:rsidRDefault="00B233A8" w:rsidP="00B233A8">
      <w:pPr>
        <w:autoSpaceDE w:val="0"/>
        <w:autoSpaceDN w:val="0"/>
        <w:adjustRightInd w:val="0"/>
        <w:ind w:firstLine="567"/>
        <w:jc w:val="left"/>
        <w:rPr>
          <w:color w:val="000000"/>
        </w:rPr>
      </w:pPr>
      <w:r w:rsidRPr="00A514AB">
        <w:rPr>
          <w:color w:val="000000"/>
        </w:rPr>
        <w:t xml:space="preserve">12) E-vergi beyannamelerinin tasdikine ilişkin yetkili meslek mensubu ücreti, </w:t>
      </w:r>
    </w:p>
    <w:p w14:paraId="0041E397" w14:textId="77777777" w:rsidR="00B233A8" w:rsidRPr="00A514AB" w:rsidRDefault="00B233A8" w:rsidP="00B233A8">
      <w:pPr>
        <w:autoSpaceDE w:val="0"/>
        <w:autoSpaceDN w:val="0"/>
        <w:adjustRightInd w:val="0"/>
        <w:ind w:left="567"/>
        <w:jc w:val="left"/>
        <w:rPr>
          <w:color w:val="000000"/>
        </w:rPr>
      </w:pPr>
      <w:r w:rsidRPr="00A514AB">
        <w:rPr>
          <w:color w:val="000000"/>
        </w:rPr>
        <w:t xml:space="preserve">13) E-defter (mali mühür, arşivleme ve kullanım) ve E-fatura (arşivleme) uygulamaları nedeni ile ödenen hizmet bedeli, </w:t>
      </w:r>
    </w:p>
    <w:p w14:paraId="7AC4CEB3" w14:textId="77777777" w:rsidR="00B233A8" w:rsidRPr="00A514AB" w:rsidRDefault="00B233A8" w:rsidP="00B233A8">
      <w:pPr>
        <w:autoSpaceDE w:val="0"/>
        <w:autoSpaceDN w:val="0"/>
        <w:adjustRightInd w:val="0"/>
        <w:ind w:firstLine="567"/>
        <w:jc w:val="left"/>
        <w:rPr>
          <w:color w:val="000000"/>
        </w:rPr>
      </w:pPr>
      <w:r w:rsidRPr="00A514AB">
        <w:rPr>
          <w:color w:val="000000"/>
        </w:rPr>
        <w:t xml:space="preserve">14) Mevzuat uyarınca tutulması zorunlu defterlere ilişkin noter onayı giderleri, </w:t>
      </w:r>
    </w:p>
    <w:p w14:paraId="6B3AA7BB" w14:textId="77777777" w:rsidR="00B233A8" w:rsidRPr="00DE1305" w:rsidRDefault="00B233A8" w:rsidP="00B233A8">
      <w:pPr>
        <w:tabs>
          <w:tab w:val="left" w:pos="851"/>
        </w:tabs>
        <w:ind w:left="567" w:right="-285"/>
      </w:pPr>
      <w:r w:rsidRPr="00A514AB">
        <w:rPr>
          <w:color w:val="000000"/>
        </w:rPr>
        <w:t xml:space="preserve">15) Tüzel kişi kimlik kodu (Legal </w:t>
      </w:r>
      <w:proofErr w:type="spellStart"/>
      <w:r w:rsidRPr="00A514AB">
        <w:rPr>
          <w:color w:val="000000"/>
        </w:rPr>
        <w:t>Entity</w:t>
      </w:r>
      <w:proofErr w:type="spellEnd"/>
      <w:r w:rsidRPr="00A514AB">
        <w:rPr>
          <w:color w:val="000000"/>
        </w:rPr>
        <w:t xml:space="preserve"> </w:t>
      </w:r>
      <w:proofErr w:type="spellStart"/>
      <w:r w:rsidRPr="00A514AB">
        <w:rPr>
          <w:color w:val="000000"/>
        </w:rPr>
        <w:t>Identification</w:t>
      </w:r>
      <w:proofErr w:type="spellEnd"/>
      <w:r w:rsidRPr="00A514AB">
        <w:rPr>
          <w:color w:val="000000"/>
        </w:rPr>
        <w:t xml:space="preserve"> </w:t>
      </w:r>
      <w:proofErr w:type="spellStart"/>
      <w:r w:rsidRPr="00A514AB">
        <w:rPr>
          <w:color w:val="000000"/>
        </w:rPr>
        <w:t>Code</w:t>
      </w:r>
      <w:proofErr w:type="spellEnd"/>
      <w:r w:rsidRPr="00A514AB">
        <w:rPr>
          <w:color w:val="000000"/>
        </w:rPr>
        <w:t>) giderleri,</w:t>
      </w:r>
    </w:p>
    <w:p w14:paraId="44419F27" w14:textId="77777777" w:rsidR="00B233A8" w:rsidRPr="00DE1305" w:rsidRDefault="00B233A8" w:rsidP="00B233A8">
      <w:pPr>
        <w:tabs>
          <w:tab w:val="left" w:pos="851"/>
        </w:tabs>
        <w:ind w:left="567" w:right="-285"/>
      </w:pPr>
      <w:r w:rsidRPr="00DE1305">
        <w:t>16) Kurulca uygun görülecek diğer harcamalar.</w:t>
      </w:r>
    </w:p>
    <w:p w14:paraId="24837C80" w14:textId="77777777" w:rsidR="00B233A8" w:rsidRPr="00EC42EC" w:rsidRDefault="00B233A8" w:rsidP="00B233A8">
      <w:pPr>
        <w:ind w:firstLine="709"/>
      </w:pPr>
    </w:p>
    <w:p w14:paraId="634C1277" w14:textId="6351CDD1" w:rsidR="00B233A8" w:rsidRPr="00EC42EC" w:rsidRDefault="00B233A8" w:rsidP="00B233A8">
      <w:pPr>
        <w:ind w:firstLine="709"/>
        <w:rPr>
          <w:rFonts w:ascii="Arial" w:hAnsi="Arial" w:cs="Arial"/>
          <w:color w:val="000000"/>
        </w:rPr>
      </w:pPr>
      <w:r w:rsidRPr="00EC42EC">
        <w:rPr>
          <w:b/>
        </w:rPr>
        <w:t>7.1.1.</w:t>
      </w:r>
      <w:r w:rsidRPr="00EC42EC">
        <w:t xml:space="preserve"> </w:t>
      </w:r>
      <w:r w:rsidRPr="00EC42EC">
        <w:rPr>
          <w:b/>
        </w:rPr>
        <w:t xml:space="preserve">Fon Toplam Gider </w:t>
      </w:r>
      <w:r w:rsidR="00E01374" w:rsidRPr="00EC42EC">
        <w:rPr>
          <w:b/>
        </w:rPr>
        <w:t xml:space="preserve">Oranı: </w:t>
      </w:r>
      <w:r w:rsidR="00E01374" w:rsidRPr="00616F05">
        <w:rPr>
          <w:bCs/>
        </w:rPr>
        <w:t>Fondan</w:t>
      </w:r>
      <w:r w:rsidRPr="00EC42EC">
        <w:t xml:space="preserve"> karşılanan, yönetim ücreti dahil bu maddede belirtilen tüm giderlerin toplamının üst sınırı yıllık </w:t>
      </w:r>
      <w:r w:rsidR="00E01374">
        <w:t>%3,65</w:t>
      </w:r>
      <w:r w:rsidR="004F03B2">
        <w:t xml:space="preserve"> </w:t>
      </w:r>
      <w:r>
        <w:t>(</w:t>
      </w:r>
      <w:proofErr w:type="spellStart"/>
      <w:r>
        <w:t>yüzdeüçvirgülaltmışbeş</w:t>
      </w:r>
      <w:proofErr w:type="spellEnd"/>
      <w:r>
        <w:t>)</w:t>
      </w:r>
      <w:r w:rsidRPr="00EC42EC">
        <w:t>’t</w:t>
      </w:r>
      <w:r>
        <w:t>i</w:t>
      </w:r>
      <w:r w:rsidRPr="00EC42EC">
        <w:t>r.</w:t>
      </w:r>
      <w:r w:rsidRPr="00EC42EC">
        <w:rPr>
          <w:rFonts w:ascii="Arial" w:hAnsi="Arial" w:cs="Arial"/>
          <w:color w:val="000000"/>
        </w:rPr>
        <w:t xml:space="preserve"> </w:t>
      </w:r>
    </w:p>
    <w:p w14:paraId="786D4282" w14:textId="77777777" w:rsidR="00B233A8" w:rsidRPr="00EC42EC" w:rsidRDefault="00B233A8" w:rsidP="00B233A8">
      <w:pPr>
        <w:ind w:firstLine="709"/>
        <w:rPr>
          <w:rFonts w:ascii="Arial" w:hAnsi="Arial" w:cs="Arial"/>
          <w:color w:val="000000"/>
        </w:rPr>
      </w:pPr>
    </w:p>
    <w:p w14:paraId="129D68EB" w14:textId="77777777" w:rsidR="00B233A8" w:rsidRPr="00EC42EC" w:rsidRDefault="00B233A8" w:rsidP="00B233A8">
      <w:pPr>
        <w:ind w:firstLine="709"/>
        <w:rPr>
          <w:b/>
        </w:rPr>
      </w:pPr>
      <w:r w:rsidRPr="00EC42EC">
        <w:t>3, 6, 9 ve 12 aylık dönemlerin son iş günü itibarıyla, belirlenen yıllık fon toplam gideri oranının ilgili döneme denk gelen kısmının aşılıp aşılmadığı, ilgili dönem için hesaplanan günlük ortalama fon toplam değeri esas alınarak, Kurucu tarafından kontrol edilir. Yapılan kontrolde belirlenen oranların aşıldığının tespiti halinde aşan tutarın ilgili dönemi takip eden beş iş günü içinde fona iade edilmesinden Kurucu ve Portföy Saklayıcısı sorumludur. İade edilen tutar, ilgili yıl içinde takip eden dönemlerin toplam gider oranı hesaplamasında toplam giderlerden düşülür. Fon toplam gider oranı limiti içinde kalınsa dahi fondan yapılabilecek harcamalar dışında Fon’a gider tahakkuk ettirilemez ve fon malvarlığından ödenemez.</w:t>
      </w:r>
    </w:p>
    <w:p w14:paraId="3BCEC43B" w14:textId="77777777" w:rsidR="00B233A8" w:rsidRPr="00EC42EC" w:rsidRDefault="00B233A8" w:rsidP="00B233A8">
      <w:pPr>
        <w:ind w:firstLine="709"/>
      </w:pPr>
    </w:p>
    <w:p w14:paraId="064AE281" w14:textId="37D6073E" w:rsidR="00B233A8" w:rsidRPr="00DE1305" w:rsidRDefault="00B233A8" w:rsidP="00B233A8">
      <w:pPr>
        <w:ind w:firstLine="709"/>
      </w:pPr>
      <w:r w:rsidRPr="00DE1305">
        <w:rPr>
          <w:b/>
        </w:rPr>
        <w:t>7.1.2.</w:t>
      </w:r>
      <w:r w:rsidRPr="00DE1305">
        <w:t xml:space="preserve"> </w:t>
      </w:r>
      <w:r w:rsidRPr="00DE1305">
        <w:rPr>
          <w:b/>
        </w:rPr>
        <w:t>Fon Yönetim Ücreti Oranı:</w:t>
      </w:r>
      <w:r w:rsidRPr="00DE1305">
        <w:t xml:space="preserve"> </w:t>
      </w:r>
      <w:r w:rsidR="00DE1305">
        <w:t xml:space="preserve"> </w:t>
      </w:r>
    </w:p>
    <w:p w14:paraId="01E024E4" w14:textId="61518775" w:rsidR="00B233A8" w:rsidRPr="00A514AB" w:rsidRDefault="00B233A8" w:rsidP="00A514AB">
      <w:pPr>
        <w:autoSpaceDE w:val="0"/>
        <w:autoSpaceDN w:val="0"/>
        <w:adjustRightInd w:val="0"/>
        <w:ind w:firstLine="708"/>
        <w:rPr>
          <w:color w:val="000000"/>
        </w:rPr>
      </w:pPr>
      <w:r w:rsidRPr="00A514AB">
        <w:rPr>
          <w:color w:val="000000"/>
        </w:rPr>
        <w:t>Fon’un toplam gideri içinde kalmak kaydıyla, fon toplam değerinin günlük %0,00739726 (</w:t>
      </w:r>
      <w:proofErr w:type="spellStart"/>
      <w:r w:rsidRPr="00A514AB">
        <w:rPr>
          <w:color w:val="000000"/>
        </w:rPr>
        <w:t>yüzbindeyedivirgülotuzdokuzbinyediyüzyirmialtı</w:t>
      </w:r>
      <w:proofErr w:type="spellEnd"/>
      <w:r w:rsidRPr="00A514AB">
        <w:rPr>
          <w:color w:val="000000"/>
        </w:rPr>
        <w:t>) [yıllık yaklaşık %2,7 (</w:t>
      </w:r>
      <w:proofErr w:type="spellStart"/>
      <w:r w:rsidRPr="00A514AB">
        <w:rPr>
          <w:color w:val="000000"/>
        </w:rPr>
        <w:t>yüzdeikivirgülyedi</w:t>
      </w:r>
      <w:proofErr w:type="spellEnd"/>
      <w:r w:rsidR="00E01374" w:rsidRPr="00A514AB">
        <w:rPr>
          <w:color w:val="000000"/>
        </w:rPr>
        <w:t>)] oluşan</w:t>
      </w:r>
      <w:r w:rsidRPr="00A514AB">
        <w:rPr>
          <w:color w:val="000000"/>
        </w:rPr>
        <w:t xml:space="preserve"> bir yönetim ücreti tahakkuk ettirilir. Bu ücret her ay sonunu izleyen bir hafta içinde, kurucu ile dağıtıcı arasında imzalanan sözleşme çerçevesinde belirlenen paylaşım esaslarına göre kurucuya ve dağıtıcıya fondan ödenecektir. </w:t>
      </w:r>
    </w:p>
    <w:p w14:paraId="0EF3F0E2" w14:textId="00AF8619" w:rsidR="00B233A8" w:rsidRDefault="00B233A8">
      <w:pPr>
        <w:ind w:firstLine="709"/>
        <w:rPr>
          <w:color w:val="000000"/>
        </w:rPr>
      </w:pPr>
      <w:r w:rsidRPr="00A514AB">
        <w:rPr>
          <w:color w:val="000000"/>
        </w:rPr>
        <w:t>Dağıtıcı ile kurucu arasında bir sözleşme olmaması durumunda Kurul tarafından belirlenen “genel komisyon oranı” uygulanır.</w:t>
      </w:r>
    </w:p>
    <w:p w14:paraId="66FB60CA" w14:textId="6BC6E1DB" w:rsidR="00B04F93" w:rsidRDefault="00B04F93">
      <w:pPr>
        <w:ind w:firstLine="709"/>
      </w:pPr>
    </w:p>
    <w:p w14:paraId="55446EDB" w14:textId="33320AEF" w:rsidR="00B72C49" w:rsidRDefault="00B72C49" w:rsidP="00B72C49">
      <w:pPr>
        <w:ind w:firstLine="708"/>
        <w:rPr>
          <w:b/>
          <w:sz w:val="22"/>
          <w:szCs w:val="22"/>
        </w:rPr>
      </w:pPr>
      <w:r w:rsidRPr="00B72C49">
        <w:rPr>
          <w:b/>
          <w:sz w:val="22"/>
          <w:szCs w:val="22"/>
        </w:rPr>
        <w:t xml:space="preserve">7.1.3. </w:t>
      </w:r>
      <w:r w:rsidRPr="00B72C49">
        <w:rPr>
          <w:b/>
          <w:bCs/>
          <w:sz w:val="22"/>
          <w:szCs w:val="22"/>
        </w:rPr>
        <w:t>Fon</w:t>
      </w:r>
      <w:r w:rsidRPr="00B72C49">
        <w:rPr>
          <w:b/>
          <w:sz w:val="22"/>
          <w:szCs w:val="22"/>
        </w:rPr>
        <w:t xml:space="preserve"> Portföyündeki Varlıkların Alım Satımına Aracılık Eden Kuruluşlar ve Aracılık İşlemleri İçin Ödenen Komisyonlar</w:t>
      </w:r>
    </w:p>
    <w:p w14:paraId="21DA354A" w14:textId="77777777" w:rsidR="00B72C49" w:rsidRPr="00B72C49" w:rsidRDefault="00B72C49" w:rsidP="00B72C49">
      <w:pPr>
        <w:ind w:firstLine="708"/>
        <w:rPr>
          <w:b/>
          <w:sz w:val="22"/>
          <w:szCs w:val="22"/>
        </w:rPr>
      </w:pPr>
    </w:p>
    <w:p w14:paraId="29C3C399" w14:textId="70197438" w:rsidR="00FC6E32" w:rsidRPr="003F04AB" w:rsidRDefault="00E750A5" w:rsidP="00E750A5">
      <w:pPr>
        <w:ind w:firstLine="709"/>
      </w:pPr>
      <w:r>
        <w:t>Fon portföyünde yer alan varlıkların alım satımına aracılık eden kuruluşlar ve söz konusu aracılık işlemleri için uygulanan komisyon oranları Fon’un KAP sayfasında (</w:t>
      </w:r>
      <w:hyperlink r:id="rId17" w:history="1">
        <w:r>
          <w:rPr>
            <w:rStyle w:val="Hyperlink"/>
          </w:rPr>
          <w:t>www.kap.org.tr</w:t>
        </w:r>
      </w:hyperlink>
      <w:r>
        <w:t>)  yayımlanmaktadır.</w:t>
      </w:r>
    </w:p>
    <w:p w14:paraId="2E972031" w14:textId="77777777" w:rsidR="00B233A8" w:rsidRPr="00EC42EC" w:rsidRDefault="00B233A8" w:rsidP="00B233A8">
      <w:pPr>
        <w:pStyle w:val="ListParagraph"/>
        <w:ind w:left="0" w:firstLine="709"/>
      </w:pPr>
    </w:p>
    <w:p w14:paraId="0A7CDA36" w14:textId="77777777" w:rsidR="00E750A5" w:rsidRPr="001063DC" w:rsidRDefault="00E750A5" w:rsidP="00E750A5">
      <w:pPr>
        <w:tabs>
          <w:tab w:val="left" w:pos="993"/>
        </w:tabs>
        <w:spacing w:after="200"/>
        <w:ind w:firstLine="709"/>
        <w:rPr>
          <w:b/>
        </w:rPr>
      </w:pPr>
      <w:r w:rsidRPr="001063DC">
        <w:rPr>
          <w:b/>
        </w:rPr>
        <w:t>7.1.4. Karşılık Ayrılacak Diğer Giderler ve Tahmini Tutarları</w:t>
      </w:r>
    </w:p>
    <w:p w14:paraId="6F885D54" w14:textId="12A549C6" w:rsidR="006E0F46" w:rsidRDefault="00E750A5" w:rsidP="00E750A5">
      <w:pPr>
        <w:ind w:firstLine="708"/>
      </w:pPr>
      <w:r w:rsidRPr="001063DC">
        <w:t>Fon malvarlığından karşılanan saklama ücreti ve diğer giderlere ilişkin güncel bilgilere yatırımcı bilgi formundan ulaşılabilir</w:t>
      </w:r>
      <w:r>
        <w:t>.</w:t>
      </w:r>
    </w:p>
    <w:p w14:paraId="1BAB388D" w14:textId="77777777" w:rsidR="00E750A5" w:rsidRPr="00EC42EC" w:rsidRDefault="00E750A5" w:rsidP="00E750A5"/>
    <w:p w14:paraId="008208A8" w14:textId="77777777" w:rsidR="00B233A8" w:rsidRPr="00EC42EC" w:rsidRDefault="00B233A8" w:rsidP="00B233A8">
      <w:pPr>
        <w:pStyle w:val="Heading2"/>
        <w:tabs>
          <w:tab w:val="left" w:pos="1134"/>
        </w:tabs>
        <w:ind w:firstLine="708"/>
        <w:rPr>
          <w:rFonts w:cs="Times New Roman"/>
          <w:sz w:val="24"/>
          <w:szCs w:val="24"/>
        </w:rPr>
      </w:pPr>
      <w:r w:rsidRPr="00EC42EC">
        <w:rPr>
          <w:rFonts w:cs="Times New Roman"/>
          <w:sz w:val="24"/>
          <w:szCs w:val="24"/>
        </w:rPr>
        <w:t>VIII. FONUN VERGİLENDİRİLMESİ:</w:t>
      </w:r>
    </w:p>
    <w:p w14:paraId="1792D0AD" w14:textId="77777777" w:rsidR="00B233A8" w:rsidRPr="00EC42EC" w:rsidRDefault="00B233A8" w:rsidP="00B233A8">
      <w:pPr>
        <w:tabs>
          <w:tab w:val="left" w:pos="1134"/>
        </w:tabs>
        <w:ind w:firstLine="708"/>
      </w:pPr>
    </w:p>
    <w:p w14:paraId="798581C4" w14:textId="52452246" w:rsidR="00E750A5" w:rsidRPr="00E750A5" w:rsidRDefault="00E750A5" w:rsidP="00E750A5">
      <w:pPr>
        <w:tabs>
          <w:tab w:val="left" w:pos="1134"/>
        </w:tabs>
      </w:pPr>
      <w:r>
        <w:rPr>
          <w:b/>
          <w:bCs/>
        </w:rPr>
        <w:tab/>
      </w:r>
      <w:r w:rsidRPr="00E750A5">
        <w:t xml:space="preserve">Fon’un ve katılma payı satın alanların vergilendirilmesine ilişkin esaslara </w:t>
      </w:r>
      <w:hyperlink r:id="rId18" w:history="1">
        <w:r w:rsidRPr="00E750A5">
          <w:rPr>
            <w:rStyle w:val="Hyperlink"/>
          </w:rPr>
          <w:t>www.gib.gov.tr</w:t>
        </w:r>
      </w:hyperlink>
      <w:r w:rsidRPr="00E750A5">
        <w:t xml:space="preserve"> adresinden ulaşılabilir. </w:t>
      </w:r>
    </w:p>
    <w:p w14:paraId="20119606" w14:textId="77777777" w:rsidR="00B233A8" w:rsidRPr="00EC42EC" w:rsidRDefault="00B233A8" w:rsidP="00A514AB">
      <w:pPr>
        <w:tabs>
          <w:tab w:val="left" w:pos="1134"/>
        </w:tabs>
        <w:rPr>
          <w:b/>
        </w:rPr>
      </w:pPr>
    </w:p>
    <w:p w14:paraId="5DB536AD" w14:textId="77777777" w:rsidR="00B233A8" w:rsidRPr="00EC42EC" w:rsidRDefault="00B233A8" w:rsidP="00B233A8">
      <w:pPr>
        <w:tabs>
          <w:tab w:val="left" w:pos="1134"/>
        </w:tabs>
        <w:ind w:firstLine="708"/>
        <w:rPr>
          <w:b/>
        </w:rPr>
      </w:pPr>
      <w:r w:rsidRPr="00EC42EC">
        <w:rPr>
          <w:b/>
        </w:rPr>
        <w:lastRenderedPageBreak/>
        <w:t>IX.</w:t>
      </w:r>
      <w:r w:rsidRPr="00EC42EC">
        <w:rPr>
          <w:b/>
        </w:rPr>
        <w:tab/>
        <w:t xml:space="preserve"> FİNANSAL RAPORLAMA ESASLARI </w:t>
      </w:r>
      <w:r>
        <w:rPr>
          <w:b/>
        </w:rPr>
        <w:t>İLE</w:t>
      </w:r>
      <w:r w:rsidRPr="00EC42EC">
        <w:rPr>
          <w:b/>
        </w:rPr>
        <w:t xml:space="preserve"> FONLA İLGİLİ BİLGİLER</w:t>
      </w:r>
      <w:r>
        <w:rPr>
          <w:b/>
        </w:rPr>
        <w:t xml:space="preserve">E VE FON PORTFÖYÜNDE YER ALAN VARLIKLARA İLİŞKİN </w:t>
      </w:r>
      <w:r w:rsidRPr="00EC42EC">
        <w:rPr>
          <w:b/>
        </w:rPr>
        <w:t>AÇIKLA</w:t>
      </w:r>
      <w:r>
        <w:rPr>
          <w:b/>
        </w:rPr>
        <w:t>MALAR</w:t>
      </w:r>
    </w:p>
    <w:p w14:paraId="0BFF642A" w14:textId="77777777" w:rsidR="00B233A8" w:rsidRPr="00EC42EC" w:rsidRDefault="00B233A8" w:rsidP="00B233A8">
      <w:pPr>
        <w:tabs>
          <w:tab w:val="left" w:pos="1134"/>
        </w:tabs>
        <w:ind w:firstLine="708"/>
        <w:rPr>
          <w:b/>
          <w:u w:val="single"/>
        </w:rPr>
      </w:pPr>
    </w:p>
    <w:p w14:paraId="6FF7E809" w14:textId="0CF39BF0" w:rsidR="00186B1A" w:rsidRPr="0056293D" w:rsidRDefault="00186B1A" w:rsidP="00186B1A">
      <w:pPr>
        <w:pStyle w:val="ListParagraph"/>
        <w:widowControl w:val="0"/>
        <w:numPr>
          <w:ilvl w:val="1"/>
          <w:numId w:val="43"/>
        </w:numPr>
        <w:tabs>
          <w:tab w:val="left" w:pos="1263"/>
        </w:tabs>
        <w:autoSpaceDE w:val="0"/>
        <w:autoSpaceDN w:val="0"/>
        <w:ind w:left="0" w:firstLine="709"/>
        <w:rPr>
          <w:spacing w:val="-5"/>
        </w:rPr>
      </w:pPr>
      <w:r w:rsidRPr="0056293D">
        <w:rPr>
          <w:spacing w:val="-5"/>
        </w:rPr>
        <w:t xml:space="preserve">Kurucu, Fon’un yıllık finansal tablolarını, ilgili hesap döneminin bitimini takip eden 60 gün içinde </w:t>
      </w:r>
      <w:proofErr w:type="spellStart"/>
      <w:r w:rsidRPr="0056293D">
        <w:rPr>
          <w:spacing w:val="-5"/>
        </w:rPr>
        <w:t>KAP’ta</w:t>
      </w:r>
      <w:proofErr w:type="spellEnd"/>
      <w:r w:rsidRPr="0056293D">
        <w:rPr>
          <w:spacing w:val="-5"/>
        </w:rPr>
        <w:t xml:space="preserve"> ilan eder. Finansal tabloların son bildirim gününün resmi tatil gününe denk gelmesi halinde resmi tatil gününü takip eden ilk iş günü son bildirim tarihidir. Fonlar tasfiye tarihi itibarıyla özel bağımsız denetime tabidir. </w:t>
      </w:r>
    </w:p>
    <w:p w14:paraId="5A13A5D3" w14:textId="77777777" w:rsidR="00B233A8" w:rsidRPr="00EC42EC" w:rsidRDefault="00B233A8" w:rsidP="00B233A8">
      <w:pPr>
        <w:tabs>
          <w:tab w:val="left" w:pos="1134"/>
        </w:tabs>
        <w:ind w:firstLine="708"/>
        <w:rPr>
          <w:b/>
        </w:rPr>
      </w:pPr>
    </w:p>
    <w:p w14:paraId="1C4FFB3F" w14:textId="77777777" w:rsidR="00186B1A" w:rsidRDefault="00186B1A" w:rsidP="00186B1A">
      <w:pPr>
        <w:pStyle w:val="ListParagraph"/>
        <w:widowControl w:val="0"/>
        <w:numPr>
          <w:ilvl w:val="1"/>
          <w:numId w:val="43"/>
        </w:numPr>
        <w:tabs>
          <w:tab w:val="left" w:pos="1263"/>
        </w:tabs>
        <w:autoSpaceDE w:val="0"/>
        <w:autoSpaceDN w:val="0"/>
        <w:ind w:left="0" w:firstLine="709"/>
        <w:rPr>
          <w:b/>
          <w:bCs/>
        </w:rPr>
      </w:pPr>
      <w:r w:rsidRPr="003848C9">
        <w:rPr>
          <w:b/>
        </w:rPr>
        <w:t xml:space="preserve">Şemsiye fon içtüzüğüne, </w:t>
      </w:r>
      <w:r w:rsidRPr="009A7333">
        <w:rPr>
          <w:b/>
          <w:bCs/>
        </w:rPr>
        <w:t xml:space="preserve">bu izahnameye, yatırımcı bilgi formuna, bağımsız denetim raporuyla birlikte finansal raporlara (Finansal tablolar, sorumluluk beyanları)  fon giderlerine ilişkin bilgilere, fonun risk değerine, uygulanan komisyonlara, varsa performans ücretlendirmesine ilişkin bilgilere ve fon tarafından açıklanması gereken diğer bilgilere fonun </w:t>
      </w:r>
      <w:proofErr w:type="spellStart"/>
      <w:r w:rsidRPr="009A7333">
        <w:rPr>
          <w:b/>
          <w:bCs/>
        </w:rPr>
        <w:t>KAP’ta</w:t>
      </w:r>
      <w:proofErr w:type="spellEnd"/>
      <w:r w:rsidRPr="009A7333">
        <w:rPr>
          <w:b/>
          <w:bCs/>
        </w:rPr>
        <w:t xml:space="preserve"> yer alan sürekli bilgilendirme formundan (</w:t>
      </w:r>
      <w:hyperlink r:id="rId19" w:history="1">
        <w:r w:rsidRPr="009A7333">
          <w:rPr>
            <w:rStyle w:val="Hyperlink"/>
            <w:b/>
            <w:bCs/>
          </w:rPr>
          <w:t>www.kap.org.tr</w:t>
        </w:r>
      </w:hyperlink>
      <w:r w:rsidRPr="009A7333">
        <w:rPr>
          <w:b/>
          <w:bCs/>
        </w:rPr>
        <w:t>) ulaşılması mümkündür.</w:t>
      </w:r>
      <w:r w:rsidRPr="003848C9">
        <w:rPr>
          <w:b/>
          <w:bCs/>
        </w:rPr>
        <w:t xml:space="preserve"> </w:t>
      </w:r>
    </w:p>
    <w:p w14:paraId="43666FFC" w14:textId="77777777" w:rsidR="00186B1A" w:rsidRPr="00CC51E4" w:rsidRDefault="00186B1A" w:rsidP="00186B1A">
      <w:pPr>
        <w:widowControl w:val="0"/>
        <w:tabs>
          <w:tab w:val="left" w:pos="1263"/>
        </w:tabs>
        <w:autoSpaceDE w:val="0"/>
        <w:autoSpaceDN w:val="0"/>
        <w:ind w:firstLine="709"/>
        <w:rPr>
          <w:b/>
          <w:bCs/>
        </w:rPr>
      </w:pPr>
    </w:p>
    <w:p w14:paraId="4BE2F70E" w14:textId="77777777" w:rsidR="00186B1A" w:rsidRPr="003848C9" w:rsidRDefault="00186B1A" w:rsidP="00186B1A">
      <w:pPr>
        <w:widowControl w:val="0"/>
        <w:tabs>
          <w:tab w:val="left" w:pos="851"/>
        </w:tabs>
        <w:autoSpaceDE w:val="0"/>
        <w:autoSpaceDN w:val="0"/>
        <w:ind w:firstLine="709"/>
        <w:rPr>
          <w:b/>
          <w:bCs/>
        </w:rPr>
      </w:pPr>
      <w:r w:rsidRPr="003848C9">
        <w:rPr>
          <w:b/>
          <w:bCs/>
        </w:rPr>
        <w:tab/>
      </w:r>
      <w:r w:rsidRPr="00E83F2C">
        <w:rPr>
          <w:b/>
          <w:bCs/>
        </w:rPr>
        <w:t>Ayrıca, fonun geçmiş performansına, fonun portföy dağılımına, fonun risk değerine ve fondan tahsil edilen ve yatırımcılardan belirli şartlar altında tahsil edilecek ücret ve komisyon bilgilerine yatırımcı bilgi formundan da ulaşılması mümkündür</w:t>
      </w:r>
      <w:r w:rsidRPr="003848C9">
        <w:rPr>
          <w:b/>
          <w:bCs/>
        </w:rPr>
        <w:t xml:space="preserve">. </w:t>
      </w:r>
    </w:p>
    <w:p w14:paraId="5D2CAC20" w14:textId="77777777" w:rsidR="00186B1A" w:rsidRDefault="00186B1A" w:rsidP="00186B1A">
      <w:pPr>
        <w:pStyle w:val="ListParagraph"/>
        <w:ind w:firstLine="709"/>
      </w:pPr>
      <w:r>
        <w:t xml:space="preserve"> </w:t>
      </w:r>
    </w:p>
    <w:p w14:paraId="15D431E0" w14:textId="77777777" w:rsidR="00186B1A" w:rsidRDefault="00186B1A" w:rsidP="00186B1A">
      <w:pPr>
        <w:pStyle w:val="ListParagraph"/>
        <w:widowControl w:val="0"/>
        <w:numPr>
          <w:ilvl w:val="1"/>
          <w:numId w:val="43"/>
        </w:numPr>
        <w:tabs>
          <w:tab w:val="left" w:pos="1263"/>
        </w:tabs>
        <w:autoSpaceDE w:val="0"/>
        <w:autoSpaceDN w:val="0"/>
        <w:ind w:left="0" w:firstLine="709"/>
      </w:pPr>
      <w:r w:rsidRPr="00580058">
        <w:t xml:space="preserve">Yatırımcıların yatırım yapma kararını etkileyebilecek ve önceden bilgi sahibi olunmasını gerektirecek nitelikte olan </w:t>
      </w:r>
      <w:r>
        <w:t>i</w:t>
      </w:r>
      <w:r w:rsidRPr="00580058">
        <w:t xml:space="preserve">zahnamenin </w:t>
      </w:r>
      <w:r w:rsidRPr="00E3747E">
        <w:t xml:space="preserve">I.1.1., I.1.2.1., II, III., VI. (6.5. maddesi hariç), VII </w:t>
      </w:r>
      <w:proofErr w:type="spellStart"/>
      <w:r w:rsidRPr="00E3747E">
        <w:t>nolu</w:t>
      </w:r>
      <w:proofErr w:type="spellEnd"/>
      <w:r w:rsidRPr="00E3747E">
        <w:t xml:space="preserve"> bölümlerindeki </w:t>
      </w:r>
      <w:r w:rsidRPr="00580058">
        <w:t xml:space="preserve">değişiklikler Kurul tarafından incelenerek onaylanır ve yürürlüğe giriş tarihinden en az 30 gün önce katılma payı sahiplerine en uygun haberleşme vasıtasıyla bildirilir. İzahnamenin diğer bölümlerinde yapılacak değişikler ise, Kurulun onayı aranmaksızın kurucu tarafından yapılarak </w:t>
      </w:r>
      <w:proofErr w:type="spellStart"/>
      <w:r w:rsidRPr="00580058">
        <w:t>KAP’ta</w:t>
      </w:r>
      <w:proofErr w:type="spellEnd"/>
      <w:r w:rsidRPr="00580058">
        <w:t xml:space="preserve"> ve </w:t>
      </w:r>
      <w:proofErr w:type="spellStart"/>
      <w:r w:rsidRPr="00580058">
        <w:t>Kurucu’nun</w:t>
      </w:r>
      <w:proofErr w:type="spellEnd"/>
      <w:r w:rsidRPr="00580058">
        <w:t xml:space="preserve"> resmi internet sitesinde ilan edilir ve yapılan değişiklikler her takvim yılı sonunu izleyen altı iş günü içinde toplu olarak Kurula bildirilir.</w:t>
      </w:r>
    </w:p>
    <w:p w14:paraId="088A2795" w14:textId="77777777" w:rsidR="00186B1A" w:rsidRDefault="00186B1A" w:rsidP="00186B1A">
      <w:pPr>
        <w:pStyle w:val="ListParagraph"/>
      </w:pPr>
    </w:p>
    <w:p w14:paraId="371D445D" w14:textId="77777777" w:rsidR="00186B1A" w:rsidRDefault="00186B1A" w:rsidP="00186B1A">
      <w:pPr>
        <w:pStyle w:val="ListParagraph"/>
        <w:widowControl w:val="0"/>
        <w:numPr>
          <w:ilvl w:val="1"/>
          <w:numId w:val="43"/>
        </w:numPr>
        <w:tabs>
          <w:tab w:val="left" w:pos="709"/>
        </w:tabs>
        <w:autoSpaceDE w:val="0"/>
        <w:autoSpaceDN w:val="0"/>
        <w:ind w:left="0" w:firstLine="709"/>
      </w:pPr>
      <w:r w:rsidRPr="00580058">
        <w:t>Fona ilişkin olarak yapılacak tanıtım ve reklamlarda, Kurul düzenlemelerinde yer alan nitelikli yatırımcı tanımına ve satışın yalnızca gerekli koşulları sağlayan nitelikli yatırımcılara yapılacağı hususlarına yer verilmesi zorunludur.</w:t>
      </w:r>
    </w:p>
    <w:p w14:paraId="78D47754" w14:textId="77777777" w:rsidR="00186B1A" w:rsidRDefault="00186B1A" w:rsidP="00186B1A">
      <w:pPr>
        <w:pStyle w:val="ListParagraph"/>
      </w:pPr>
    </w:p>
    <w:p w14:paraId="09F2BFAA" w14:textId="77777777" w:rsidR="00186B1A" w:rsidRDefault="00186B1A" w:rsidP="00186B1A">
      <w:pPr>
        <w:pStyle w:val="ListParagraph"/>
        <w:widowControl w:val="0"/>
        <w:numPr>
          <w:ilvl w:val="1"/>
          <w:numId w:val="43"/>
        </w:numPr>
        <w:tabs>
          <w:tab w:val="left" w:pos="1263"/>
        </w:tabs>
        <w:autoSpaceDE w:val="0"/>
        <w:autoSpaceDN w:val="0"/>
        <w:ind w:left="0" w:firstLine="709"/>
      </w:pPr>
      <w:r w:rsidRPr="003B7DD4">
        <w:t xml:space="preserve">Portföye yapılandırılmış yatırım aracı dahil edilmesi halinde söz konusu yatırım aracının genel özelliklerine ilişkin bilgiler ve içerdiği muhtemel riskler ayrıca </w:t>
      </w:r>
      <w:proofErr w:type="spellStart"/>
      <w:r w:rsidRPr="003B7DD4">
        <w:t>KAP’ta</w:t>
      </w:r>
      <w:proofErr w:type="spellEnd"/>
      <w:r w:rsidRPr="003B7DD4">
        <w:t xml:space="preserve"> açıklanır.</w:t>
      </w:r>
    </w:p>
    <w:p w14:paraId="40AF90D5" w14:textId="77777777" w:rsidR="00186B1A" w:rsidRDefault="00186B1A" w:rsidP="00186B1A">
      <w:pPr>
        <w:pStyle w:val="ListParagraph"/>
      </w:pPr>
    </w:p>
    <w:p w14:paraId="2A541E70" w14:textId="77777777" w:rsidR="00186B1A" w:rsidRDefault="00186B1A" w:rsidP="00186B1A">
      <w:pPr>
        <w:pStyle w:val="ListParagraph"/>
        <w:widowControl w:val="0"/>
        <w:numPr>
          <w:ilvl w:val="1"/>
          <w:numId w:val="43"/>
        </w:numPr>
        <w:tabs>
          <w:tab w:val="left" w:pos="1263"/>
        </w:tabs>
        <w:autoSpaceDE w:val="0"/>
        <w:autoSpaceDN w:val="0"/>
        <w:ind w:left="0" w:firstLine="709"/>
      </w:pPr>
      <w:r w:rsidRPr="003B7DD4">
        <w:t xml:space="preserve">Borsa dışı repo-ters repo işlemlerinin fon portföyüne dahil edilmesi halinde en geç sözleşme tarihini takip eden iş günü içinde sözleşmenin vadesi, faiz oranı, karşı tarafı ve karşı tarafın derecelendirme notu </w:t>
      </w:r>
      <w:proofErr w:type="spellStart"/>
      <w:r w:rsidRPr="003B7DD4">
        <w:t>KAP’ta</w:t>
      </w:r>
      <w:proofErr w:type="spellEnd"/>
      <w:r w:rsidRPr="003B7DD4">
        <w:t xml:space="preserve"> açıklanır.</w:t>
      </w:r>
    </w:p>
    <w:p w14:paraId="233BA502" w14:textId="77777777" w:rsidR="00B233A8" w:rsidRDefault="00B233A8" w:rsidP="00B233A8">
      <w:pPr>
        <w:tabs>
          <w:tab w:val="left" w:pos="1134"/>
        </w:tabs>
        <w:rPr>
          <w:b/>
        </w:rPr>
      </w:pPr>
    </w:p>
    <w:p w14:paraId="42360655" w14:textId="77777777" w:rsidR="00B233A8" w:rsidRPr="00EC42EC" w:rsidRDefault="00B233A8" w:rsidP="00B233A8">
      <w:pPr>
        <w:tabs>
          <w:tab w:val="left" w:pos="1134"/>
        </w:tabs>
        <w:ind w:firstLine="708"/>
        <w:rPr>
          <w:b/>
        </w:rPr>
      </w:pPr>
      <w:r>
        <w:rPr>
          <w:b/>
        </w:rPr>
        <w:t>X</w:t>
      </w:r>
      <w:r w:rsidRPr="00EC42EC">
        <w:rPr>
          <w:b/>
        </w:rPr>
        <w:t>. FON'UN SONA ERMESİ VE FON VARLIĞININ TASFİYESİ</w:t>
      </w:r>
    </w:p>
    <w:p w14:paraId="2D9DC518" w14:textId="77777777" w:rsidR="00B233A8" w:rsidRPr="00EC42EC" w:rsidRDefault="00B233A8" w:rsidP="00B233A8">
      <w:pPr>
        <w:tabs>
          <w:tab w:val="left" w:pos="1134"/>
        </w:tabs>
        <w:spacing w:before="32"/>
        <w:ind w:firstLine="708"/>
        <w:rPr>
          <w:b/>
          <w:spacing w:val="1"/>
        </w:rPr>
      </w:pPr>
    </w:p>
    <w:p w14:paraId="06B28762" w14:textId="77777777" w:rsidR="00186B1A" w:rsidRPr="00E83F2C" w:rsidRDefault="00186B1A" w:rsidP="00186B1A">
      <w:pPr>
        <w:tabs>
          <w:tab w:val="left" w:pos="1134"/>
        </w:tabs>
        <w:ind w:firstLine="708"/>
        <w:rPr>
          <w:bCs/>
          <w:spacing w:val="1"/>
        </w:rPr>
      </w:pPr>
      <w:r w:rsidRPr="00E83F2C">
        <w:rPr>
          <w:bCs/>
          <w:spacing w:val="1"/>
        </w:rPr>
        <w:t xml:space="preserve">Fon, Tebliğ’in 28. maddesi, 29. maddesi ve Rehber’in 11. maddesi hükümleri çerçevesinde sona erer ve tasfiye edilir.  </w:t>
      </w:r>
    </w:p>
    <w:p w14:paraId="24E8F059" w14:textId="77777777" w:rsidR="00B233A8" w:rsidRDefault="00B233A8" w:rsidP="00A514AB">
      <w:pPr>
        <w:tabs>
          <w:tab w:val="left" w:pos="1134"/>
        </w:tabs>
      </w:pPr>
    </w:p>
    <w:p w14:paraId="17593FE1" w14:textId="77777777" w:rsidR="00B233A8" w:rsidRPr="00EC42EC" w:rsidRDefault="00B233A8" w:rsidP="00B233A8">
      <w:pPr>
        <w:tabs>
          <w:tab w:val="left" w:pos="1134"/>
        </w:tabs>
        <w:ind w:firstLine="708"/>
        <w:rPr>
          <w:b/>
        </w:rPr>
      </w:pPr>
      <w:r>
        <w:rPr>
          <w:b/>
        </w:rPr>
        <w:t>XI</w:t>
      </w:r>
      <w:r w:rsidRPr="00EC42EC">
        <w:rPr>
          <w:b/>
        </w:rPr>
        <w:t>.  KATILMA PAYI SAHİPLERİNİN HAKLARI</w:t>
      </w:r>
    </w:p>
    <w:p w14:paraId="55F46165" w14:textId="77777777" w:rsidR="00B233A8" w:rsidRPr="00EC42EC" w:rsidRDefault="00B233A8" w:rsidP="00B233A8">
      <w:pPr>
        <w:tabs>
          <w:tab w:val="left" w:pos="1134"/>
        </w:tabs>
        <w:ind w:firstLine="708"/>
      </w:pPr>
    </w:p>
    <w:p w14:paraId="1B49448C" w14:textId="13EC8E0B" w:rsidR="00B233A8" w:rsidRPr="00EC42EC" w:rsidRDefault="00B233A8" w:rsidP="00B233A8">
      <w:pPr>
        <w:tabs>
          <w:tab w:val="left" w:pos="1134"/>
        </w:tabs>
        <w:ind w:firstLine="708"/>
      </w:pPr>
      <w:r w:rsidRPr="00EC42EC">
        <w:rPr>
          <w:b/>
        </w:rPr>
        <w:t>11.</w:t>
      </w:r>
      <w:r>
        <w:rPr>
          <w:b/>
        </w:rPr>
        <w:t xml:space="preserve">1. </w:t>
      </w:r>
      <w:r w:rsidRPr="00EC42EC">
        <w:t xml:space="preserve">Kurucu ile katılma payı sahipleri arasındaki ilişkilerde Kanun, ilgili mevzuat ve içtüzük; bunlarda hüküm bulunmayan hâllerde 11/1/2011 tarihli ve 6098 sayılı Türk </w:t>
      </w:r>
      <w:r w:rsidR="00E01374" w:rsidRPr="00EC42EC">
        <w:t>Borçlar Kanunu’nun</w:t>
      </w:r>
      <w:r w:rsidRPr="00EC42EC">
        <w:t xml:space="preserve"> 502 ilâ </w:t>
      </w:r>
      <w:r w:rsidR="00E01374" w:rsidRPr="00EC42EC">
        <w:t>514’üncü</w:t>
      </w:r>
      <w:r w:rsidRPr="00EC42EC">
        <w:t xml:space="preserve"> maddeleri hükümleri kıyasen uygulanır.</w:t>
      </w:r>
    </w:p>
    <w:p w14:paraId="64D77511" w14:textId="77777777" w:rsidR="00B233A8" w:rsidRPr="00EC42EC" w:rsidRDefault="00B233A8" w:rsidP="00B233A8">
      <w:pPr>
        <w:tabs>
          <w:tab w:val="left" w:pos="1134"/>
        </w:tabs>
        <w:ind w:firstLine="708"/>
        <w:rPr>
          <w:b/>
        </w:rPr>
      </w:pPr>
    </w:p>
    <w:p w14:paraId="38B2EE95" w14:textId="77777777" w:rsidR="00B233A8" w:rsidRPr="00EC42EC" w:rsidRDefault="00B233A8" w:rsidP="00B233A8">
      <w:pPr>
        <w:tabs>
          <w:tab w:val="left" w:pos="1134"/>
        </w:tabs>
        <w:ind w:firstLine="708"/>
      </w:pPr>
      <w:r w:rsidRPr="00EC42EC">
        <w:rPr>
          <w:b/>
        </w:rPr>
        <w:t>11.2.</w:t>
      </w:r>
      <w:r w:rsidRPr="00EC42EC">
        <w:t xml:space="preserve"> Fon’da oluşan kar, Fon’un bilgilendirme dokümanlarında belirtilen esaslara göre tespit edilen katılma payının birim pay değerine yansır. Katılma payı sahipleri, paylarını Fon’a geri sattıklarında, ellerinde tuttukları süre için fonda oluşan kardan paylarını almış olurlar. Hesap dönemi sonunda ayrıca temettü dağıtımı söz konusu değildir. </w:t>
      </w:r>
    </w:p>
    <w:p w14:paraId="4377A910" w14:textId="77777777" w:rsidR="00B233A8" w:rsidRPr="00EC42EC" w:rsidRDefault="00B233A8" w:rsidP="00B233A8">
      <w:pPr>
        <w:tabs>
          <w:tab w:val="left" w:pos="1134"/>
        </w:tabs>
        <w:ind w:firstLine="708"/>
      </w:pPr>
    </w:p>
    <w:p w14:paraId="454A7D3B" w14:textId="4F32A2FF" w:rsidR="00B233A8" w:rsidRPr="00EC42EC" w:rsidRDefault="00B233A8">
      <w:pPr>
        <w:tabs>
          <w:tab w:val="left" w:pos="1134"/>
        </w:tabs>
        <w:ind w:firstLine="708"/>
      </w:pPr>
      <w:r w:rsidRPr="00EC42EC">
        <w:rPr>
          <w:b/>
        </w:rPr>
        <w:t>11.3.</w:t>
      </w:r>
      <w:r w:rsidRPr="00EC42EC">
        <w:t xml:space="preserve"> Katılma payları müşteri bazında MKK nezdinde izlenmekte olup, tasarruf sahipleri </w:t>
      </w:r>
      <w:proofErr w:type="spellStart"/>
      <w:r w:rsidRPr="00EC42EC">
        <w:t>Kurucu’dan</w:t>
      </w:r>
      <w:proofErr w:type="spellEnd"/>
      <w:r w:rsidRPr="00EC42EC">
        <w:t xml:space="preserve"> veya alım satıma aracılık eden yatırım kuruluşlardan hesap durumları hakkında her zaman bilgi talep edebilirler. </w:t>
      </w:r>
    </w:p>
    <w:p w14:paraId="369EFC11" w14:textId="77777777" w:rsidR="00152507" w:rsidRDefault="00152507" w:rsidP="00B233A8">
      <w:pPr>
        <w:tabs>
          <w:tab w:val="left" w:pos="1134"/>
        </w:tabs>
        <w:ind w:firstLine="708"/>
        <w:rPr>
          <w:b/>
        </w:rPr>
      </w:pPr>
    </w:p>
    <w:p w14:paraId="5542A73C" w14:textId="7E7B74FB" w:rsidR="00B233A8" w:rsidRPr="00EC42EC" w:rsidRDefault="00B233A8" w:rsidP="00B233A8">
      <w:pPr>
        <w:tabs>
          <w:tab w:val="left" w:pos="1134"/>
        </w:tabs>
        <w:ind w:firstLine="708"/>
        <w:rPr>
          <w:b/>
        </w:rPr>
      </w:pPr>
      <w:r w:rsidRPr="00EC42EC">
        <w:rPr>
          <w:b/>
        </w:rPr>
        <w:t>XII. FON PORTFÖYÜNÜN OLUŞTURULMASI VE HALKA ARZ</w:t>
      </w:r>
      <w:r w:rsidR="00C86FA8">
        <w:rPr>
          <w:b/>
        </w:rPr>
        <w:t>I</w:t>
      </w:r>
      <w:r w:rsidR="00C86FA8" w:rsidDel="00C86FA8">
        <w:rPr>
          <w:b/>
        </w:rPr>
        <w:t xml:space="preserve"> </w:t>
      </w:r>
    </w:p>
    <w:p w14:paraId="72841785" w14:textId="77777777" w:rsidR="00B233A8" w:rsidRPr="00EC42EC" w:rsidRDefault="00B233A8" w:rsidP="00A514AB">
      <w:pPr>
        <w:tabs>
          <w:tab w:val="left" w:pos="1134"/>
        </w:tabs>
        <w:autoSpaceDE w:val="0"/>
        <w:autoSpaceDN w:val="0"/>
        <w:adjustRightInd w:val="0"/>
        <w:rPr>
          <w:b/>
        </w:rPr>
      </w:pPr>
    </w:p>
    <w:p w14:paraId="50872DA5" w14:textId="77777777" w:rsidR="00B233A8" w:rsidRPr="00EC42EC" w:rsidRDefault="00B233A8" w:rsidP="00B233A8">
      <w:pPr>
        <w:pStyle w:val="3-NormalYaz"/>
        <w:tabs>
          <w:tab w:val="left" w:pos="1134"/>
        </w:tabs>
        <w:ind w:firstLine="708"/>
        <w:rPr>
          <w:rFonts w:eastAsia="Times New Roman"/>
          <w:sz w:val="24"/>
          <w:szCs w:val="24"/>
        </w:rPr>
      </w:pPr>
      <w:r w:rsidRPr="00EC42EC">
        <w:rPr>
          <w:rFonts w:eastAsia="Times New Roman"/>
          <w:b/>
          <w:sz w:val="24"/>
          <w:szCs w:val="24"/>
        </w:rPr>
        <w:t>12.1.</w:t>
      </w:r>
      <w:r>
        <w:rPr>
          <w:rFonts w:eastAsia="Times New Roman"/>
          <w:b/>
          <w:sz w:val="24"/>
          <w:szCs w:val="24"/>
        </w:rPr>
        <w:t xml:space="preserve"> </w:t>
      </w:r>
      <w:r>
        <w:rPr>
          <w:rFonts w:eastAsia="Times New Roman"/>
          <w:sz w:val="24"/>
          <w:szCs w:val="24"/>
        </w:rPr>
        <w:t>K</w:t>
      </w:r>
      <w:r w:rsidRPr="00EC42EC">
        <w:rPr>
          <w:rFonts w:eastAsia="Times New Roman"/>
          <w:sz w:val="24"/>
          <w:szCs w:val="24"/>
        </w:rPr>
        <w:t>atılma payları</w:t>
      </w:r>
      <w:r>
        <w:rPr>
          <w:rFonts w:eastAsia="Times New Roman"/>
          <w:sz w:val="24"/>
          <w:szCs w:val="24"/>
        </w:rPr>
        <w:t>,</w:t>
      </w:r>
      <w:r w:rsidRPr="00EC42EC">
        <w:rPr>
          <w:rFonts w:eastAsia="Times New Roman"/>
          <w:sz w:val="24"/>
          <w:szCs w:val="24"/>
        </w:rPr>
        <w:t xml:space="preserve"> </w:t>
      </w:r>
      <w:r>
        <w:rPr>
          <w:rFonts w:eastAsia="Times New Roman"/>
          <w:sz w:val="24"/>
          <w:szCs w:val="24"/>
        </w:rPr>
        <w:t>i</w:t>
      </w:r>
      <w:r w:rsidRPr="0079550F">
        <w:rPr>
          <w:rFonts w:eastAsia="Times New Roman"/>
          <w:sz w:val="24"/>
          <w:szCs w:val="24"/>
        </w:rPr>
        <w:t>zahnamenin</w:t>
      </w:r>
      <w:r>
        <w:rPr>
          <w:rFonts w:eastAsia="Times New Roman"/>
          <w:b/>
          <w:sz w:val="24"/>
          <w:szCs w:val="24"/>
        </w:rPr>
        <w:t xml:space="preserve"> </w:t>
      </w:r>
      <w:r w:rsidRPr="0079550F">
        <w:rPr>
          <w:rFonts w:eastAsia="Times New Roman"/>
          <w:sz w:val="24"/>
          <w:szCs w:val="24"/>
        </w:rPr>
        <w:t>ve</w:t>
      </w:r>
      <w:r w:rsidRPr="00EC42EC">
        <w:rPr>
          <w:rFonts w:eastAsia="Times New Roman"/>
          <w:sz w:val="24"/>
          <w:szCs w:val="24"/>
        </w:rPr>
        <w:t xml:space="preserve"> yatırımcı bilgi formunun </w:t>
      </w:r>
      <w:proofErr w:type="spellStart"/>
      <w:r w:rsidRPr="00EC42EC">
        <w:rPr>
          <w:rFonts w:eastAsia="Times New Roman"/>
          <w:sz w:val="24"/>
          <w:szCs w:val="24"/>
        </w:rPr>
        <w:t>KAP’ta</w:t>
      </w:r>
      <w:proofErr w:type="spellEnd"/>
      <w:r w:rsidRPr="00EC42EC">
        <w:rPr>
          <w:rFonts w:eastAsia="Times New Roman"/>
          <w:sz w:val="24"/>
          <w:szCs w:val="24"/>
        </w:rPr>
        <w:t xml:space="preserve"> yayımını takiben formda belirtilen satış başlangıç tarihinden itibaren, </w:t>
      </w:r>
      <w:r>
        <w:rPr>
          <w:rFonts w:eastAsia="Times New Roman"/>
          <w:sz w:val="24"/>
          <w:szCs w:val="24"/>
        </w:rPr>
        <w:t xml:space="preserve">izahname ve yatırımcı bilgi formunda </w:t>
      </w:r>
      <w:r w:rsidRPr="00EC42EC">
        <w:rPr>
          <w:rFonts w:eastAsia="Times New Roman"/>
          <w:sz w:val="24"/>
          <w:szCs w:val="24"/>
        </w:rPr>
        <w:t xml:space="preserve">belirtilen </w:t>
      </w:r>
      <w:r>
        <w:rPr>
          <w:rFonts w:eastAsia="Times New Roman"/>
          <w:sz w:val="24"/>
          <w:szCs w:val="24"/>
        </w:rPr>
        <w:t>usul ve esaslar çerçevesinde</w:t>
      </w:r>
      <w:r w:rsidRPr="00EC42EC">
        <w:rPr>
          <w:rFonts w:eastAsia="Times New Roman"/>
          <w:sz w:val="24"/>
          <w:szCs w:val="24"/>
        </w:rPr>
        <w:t xml:space="preserve"> yatırımcılara sunulur.</w:t>
      </w:r>
    </w:p>
    <w:p w14:paraId="6CEEF52C" w14:textId="6EB0B0E7" w:rsidR="00B233A8" w:rsidRDefault="00B233A8" w:rsidP="00B233A8">
      <w:pPr>
        <w:pStyle w:val="3-NormalYaz"/>
        <w:tabs>
          <w:tab w:val="left" w:pos="1134"/>
        </w:tabs>
        <w:ind w:firstLine="708"/>
        <w:rPr>
          <w:rFonts w:eastAsia="Times New Roman"/>
          <w:sz w:val="24"/>
          <w:szCs w:val="24"/>
        </w:rPr>
      </w:pPr>
    </w:p>
    <w:p w14:paraId="264077D8" w14:textId="77777777" w:rsidR="00B233A8" w:rsidRPr="00EC42EC" w:rsidRDefault="00B233A8" w:rsidP="00B233A8">
      <w:pPr>
        <w:pStyle w:val="3-NormalYaz"/>
        <w:tabs>
          <w:tab w:val="left" w:pos="1134"/>
        </w:tabs>
        <w:ind w:firstLine="708"/>
        <w:rPr>
          <w:rFonts w:eastAsia="Times New Roman"/>
          <w:sz w:val="24"/>
          <w:szCs w:val="24"/>
        </w:rPr>
      </w:pPr>
      <w:r w:rsidRPr="00EC42EC">
        <w:rPr>
          <w:rFonts w:eastAsia="Times New Roman"/>
          <w:b/>
          <w:sz w:val="24"/>
          <w:szCs w:val="24"/>
        </w:rPr>
        <w:t>12.2.</w:t>
      </w:r>
      <w:r w:rsidRPr="00EC42EC">
        <w:rPr>
          <w:rFonts w:eastAsia="Times New Roman"/>
          <w:sz w:val="24"/>
          <w:szCs w:val="24"/>
        </w:rPr>
        <w:t xml:space="preserve"> Katılma payları karşılığı yatırımcılardan toplanan para, takip eden iş günü izahnamede belirlenen varlıklara ve işlemlere yatırılır</w:t>
      </w:r>
      <w:r>
        <w:rPr>
          <w:rFonts w:eastAsia="Times New Roman"/>
          <w:sz w:val="24"/>
          <w:szCs w:val="24"/>
        </w:rPr>
        <w:t>.</w:t>
      </w:r>
    </w:p>
    <w:p w14:paraId="1A14F1F6" w14:textId="77777777" w:rsidR="00B233A8" w:rsidRPr="00EC42EC" w:rsidRDefault="00B233A8" w:rsidP="00A514AB">
      <w:pPr>
        <w:pStyle w:val="3-NormalYaz"/>
        <w:tabs>
          <w:tab w:val="left" w:pos="1134"/>
        </w:tabs>
        <w:rPr>
          <w:rFonts w:eastAsia="Times New Roman"/>
          <w:sz w:val="24"/>
          <w:szCs w:val="24"/>
        </w:rPr>
      </w:pPr>
    </w:p>
    <w:p w14:paraId="30932317" w14:textId="77777777" w:rsidR="00B233A8" w:rsidRPr="004F2883" w:rsidRDefault="00B233A8" w:rsidP="00B233A8">
      <w:pPr>
        <w:ind w:firstLine="708"/>
        <w:rPr>
          <w:b/>
          <w:bCs/>
        </w:rPr>
      </w:pPr>
      <w:r w:rsidRPr="00EC42EC">
        <w:t>İzahnamede yer alan bilgilerin doğruluğunu kanuni yetki ve sorumluluklarımız çerçevesinde onaylarız.</w:t>
      </w:r>
    </w:p>
    <w:p w14:paraId="17B5F017" w14:textId="77777777" w:rsidR="00B233A8" w:rsidRPr="004F2883" w:rsidRDefault="00B233A8" w:rsidP="00B233A8">
      <w:pPr>
        <w:ind w:firstLine="708"/>
        <w:rPr>
          <w:b/>
          <w:bCs/>
        </w:rPr>
      </w:pPr>
    </w:p>
    <w:p w14:paraId="67AA0F25" w14:textId="7513CBE1" w:rsidR="00186B1A" w:rsidRPr="00D217A2" w:rsidRDefault="00186B1A" w:rsidP="00186B1A">
      <w:pPr>
        <w:jc w:val="center"/>
        <w:rPr>
          <w:b/>
          <w:bCs/>
        </w:rPr>
      </w:pPr>
      <w:r>
        <w:rPr>
          <w:b/>
          <w:bCs/>
        </w:rPr>
        <w:t>31/10/2023</w:t>
      </w:r>
    </w:p>
    <w:p w14:paraId="0213E59F" w14:textId="77777777" w:rsidR="00186B1A" w:rsidRPr="0082332B" w:rsidRDefault="00186B1A" w:rsidP="00186B1A">
      <w:pPr>
        <w:jc w:val="center"/>
        <w:rPr>
          <w:b/>
          <w:bCs/>
        </w:rPr>
      </w:pPr>
      <w:r w:rsidRPr="00D217A2">
        <w:rPr>
          <w:b/>
          <w:bCs/>
        </w:rPr>
        <w:t>HEDEF PORTFÖY YÖNETİMİ A.Ş</w:t>
      </w:r>
    </w:p>
    <w:p w14:paraId="505CBCCF" w14:textId="77777777" w:rsidR="00186B1A" w:rsidRDefault="00186B1A" w:rsidP="00186B1A">
      <w:pPr>
        <w:tabs>
          <w:tab w:val="left" w:pos="1134"/>
        </w:tabs>
      </w:pPr>
    </w:p>
    <w:p w14:paraId="10C425F3" w14:textId="77777777" w:rsidR="00186B1A" w:rsidRDefault="00186B1A" w:rsidP="00186B1A">
      <w:pPr>
        <w:tabs>
          <w:tab w:val="left" w:pos="1134"/>
        </w:tabs>
      </w:pPr>
    </w:p>
    <w:p w14:paraId="4FF0901A" w14:textId="77777777" w:rsidR="00186B1A" w:rsidRDefault="00186B1A" w:rsidP="00186B1A">
      <w:pPr>
        <w:tabs>
          <w:tab w:val="left" w:pos="1134"/>
        </w:tabs>
      </w:pPr>
    </w:p>
    <w:p w14:paraId="5AD51175" w14:textId="77777777" w:rsidR="00186B1A" w:rsidRDefault="00186B1A" w:rsidP="00186B1A">
      <w:pPr>
        <w:tabs>
          <w:tab w:val="left" w:pos="1134"/>
        </w:tabs>
        <w:jc w:val="center"/>
      </w:pPr>
    </w:p>
    <w:p w14:paraId="3B0B9171" w14:textId="2D166D90" w:rsidR="00186B1A" w:rsidRDefault="00186B1A" w:rsidP="00186B1A">
      <w:pPr>
        <w:ind w:left="1440" w:firstLine="720"/>
        <w:rPr>
          <w:b/>
          <w:bCs/>
        </w:rPr>
      </w:pPr>
      <w:r>
        <w:rPr>
          <w:b/>
          <w:bCs/>
        </w:rPr>
        <w:t>Eymen KARACA</w:t>
      </w:r>
      <w:r>
        <w:rPr>
          <w:b/>
          <w:bCs/>
        </w:rPr>
        <w:tab/>
      </w:r>
      <w:r>
        <w:rPr>
          <w:b/>
          <w:bCs/>
        </w:rPr>
        <w:tab/>
      </w:r>
      <w:r>
        <w:rPr>
          <w:b/>
          <w:bCs/>
        </w:rPr>
        <w:tab/>
        <w:t>Ercan GÜNER</w:t>
      </w:r>
    </w:p>
    <w:p w14:paraId="45D77105" w14:textId="6A132557" w:rsidR="00186B1A" w:rsidRPr="003F0A7C" w:rsidRDefault="00186B1A" w:rsidP="00186B1A">
      <w:pPr>
        <w:ind w:left="1440" w:firstLine="720"/>
        <w:rPr>
          <w:b/>
          <w:bCs/>
        </w:rPr>
      </w:pPr>
      <w:r>
        <w:rPr>
          <w:b/>
          <w:bCs/>
        </w:rPr>
        <w:t>Yönetim Kurulu Üyesi</w:t>
      </w:r>
      <w:r>
        <w:rPr>
          <w:b/>
          <w:bCs/>
        </w:rPr>
        <w:tab/>
      </w:r>
      <w:r>
        <w:rPr>
          <w:b/>
          <w:bCs/>
        </w:rPr>
        <w:tab/>
        <w:t>Genel Müdür</w:t>
      </w:r>
    </w:p>
    <w:p w14:paraId="400062BE" w14:textId="77777777" w:rsidR="008C4BA1" w:rsidRDefault="008C4BA1" w:rsidP="00186B1A">
      <w:pPr>
        <w:ind w:firstLine="708"/>
        <w:jc w:val="center"/>
      </w:pPr>
    </w:p>
    <w:sectPr w:rsidR="008C4BA1" w:rsidSect="00B233A8">
      <w:footerReference w:type="even" r:id="rId20"/>
      <w:footerReference w:type="default" r:id="rId21"/>
      <w:pgSz w:w="11906" w:h="16838" w:code="9"/>
      <w:pgMar w:top="1418" w:right="1106" w:bottom="284" w:left="12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0BA6" w14:textId="77777777" w:rsidR="00BE1599" w:rsidRDefault="00BE1599" w:rsidP="00B233A8">
      <w:r>
        <w:separator/>
      </w:r>
    </w:p>
  </w:endnote>
  <w:endnote w:type="continuationSeparator" w:id="0">
    <w:p w14:paraId="79BD38F7" w14:textId="77777777" w:rsidR="00BE1599" w:rsidRDefault="00BE1599" w:rsidP="00B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3B29" w14:textId="77777777" w:rsidR="00BC7F1F" w:rsidRDefault="00BC7F1F">
    <w:pPr>
      <w:framePr w:wrap="around" w:vAnchor="text" w:hAnchor="margin" w:xAlign="center" w:y="1"/>
    </w:pPr>
    <w:r>
      <w:fldChar w:fldCharType="begin"/>
    </w:r>
    <w:r>
      <w:instrText xml:space="preserve">PAGE  </w:instrText>
    </w:r>
    <w:r>
      <w:fldChar w:fldCharType="separate"/>
    </w:r>
    <w:r>
      <w:rPr>
        <w:noProof/>
      </w:rPr>
      <w:t>1</w:t>
    </w:r>
    <w:r>
      <w:fldChar w:fldCharType="end"/>
    </w:r>
  </w:p>
  <w:p w14:paraId="78D16C75" w14:textId="77777777" w:rsidR="00BC7F1F" w:rsidRDefault="00BC7F1F"/>
  <w:p w14:paraId="153AB92C" w14:textId="77777777" w:rsidR="00BC7F1F" w:rsidRDefault="00BC7F1F"/>
  <w:p w14:paraId="08DE796C" w14:textId="77777777" w:rsidR="00BC7F1F" w:rsidRDefault="00BC7F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A5CD" w14:textId="7EDEAF0B" w:rsidR="00BC7F1F" w:rsidRDefault="00BC7F1F">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E516BC">
      <w:rPr>
        <w:noProof/>
        <w:sz w:val="20"/>
      </w:rPr>
      <w:t>19</w:t>
    </w:r>
    <w:r>
      <w:rPr>
        <w:sz w:val="20"/>
      </w:rPr>
      <w:fldChar w:fldCharType="end"/>
    </w:r>
  </w:p>
  <w:p w14:paraId="0A1E7AD9" w14:textId="77777777" w:rsidR="00BC7F1F" w:rsidRDefault="00BC7F1F" w:rsidP="00B23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E871" w14:textId="77777777" w:rsidR="00BE1599" w:rsidRDefault="00BE1599" w:rsidP="00B233A8">
      <w:r>
        <w:separator/>
      </w:r>
    </w:p>
  </w:footnote>
  <w:footnote w:type="continuationSeparator" w:id="0">
    <w:p w14:paraId="260ED0B2" w14:textId="77777777" w:rsidR="00BE1599" w:rsidRDefault="00BE1599" w:rsidP="00B23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0DC"/>
    <w:multiLevelType w:val="hybridMultilevel"/>
    <w:tmpl w:val="18C8333C"/>
    <w:lvl w:ilvl="0" w:tplc="0409000F">
      <w:start w:val="1"/>
      <w:numFmt w:val="decimal"/>
      <w:lvlText w:val="%1."/>
      <w:lvlJc w:val="left"/>
      <w:pPr>
        <w:tabs>
          <w:tab w:val="num" w:pos="2340"/>
        </w:tabs>
        <w:ind w:left="2340" w:hanging="360"/>
      </w:pPr>
    </w:lvl>
    <w:lvl w:ilvl="1" w:tplc="D256B38A">
      <w:start w:val="1"/>
      <w:numFmt w:val="lowerLetter"/>
      <w:lvlText w:val="%2."/>
      <w:lvlJc w:val="left"/>
      <w:pPr>
        <w:tabs>
          <w:tab w:val="num" w:pos="3060"/>
        </w:tabs>
        <w:ind w:left="3060" w:hanging="360"/>
      </w:pPr>
      <w:rPr>
        <w:rFonts w:ascii="Times New Roman" w:eastAsia="Times New Roman" w:hAnsi="Times New Roman" w:cs="Times New Roman"/>
        <w:b/>
      </w:rPr>
    </w:lvl>
    <w:lvl w:ilvl="2" w:tplc="041F0001">
      <w:start w:val="1"/>
      <w:numFmt w:val="bullet"/>
      <w:lvlText w:val=""/>
      <w:lvlJc w:val="left"/>
      <w:pPr>
        <w:tabs>
          <w:tab w:val="num" w:pos="3960"/>
        </w:tabs>
        <w:ind w:left="3960" w:hanging="360"/>
      </w:pPr>
      <w:rPr>
        <w:rFonts w:ascii="Symbol" w:hAnsi="Symbol" w:hint="default"/>
      </w:rPr>
    </w:lvl>
    <w:lvl w:ilvl="3" w:tplc="387A279A">
      <w:start w:val="1"/>
      <w:numFmt w:val="lowerLetter"/>
      <w:lvlText w:val="%4."/>
      <w:lvlJc w:val="left"/>
      <w:pPr>
        <w:tabs>
          <w:tab w:val="num" w:pos="4500"/>
        </w:tabs>
        <w:ind w:left="4500" w:hanging="360"/>
      </w:pPr>
      <w:rPr>
        <w:rFonts w:hint="default"/>
      </w:rPr>
    </w:lvl>
    <w:lvl w:ilvl="4" w:tplc="A02AF842">
      <w:numFmt w:val="bullet"/>
      <w:lvlText w:val="-"/>
      <w:lvlJc w:val="left"/>
      <w:pPr>
        <w:tabs>
          <w:tab w:val="num" w:pos="5220"/>
        </w:tabs>
        <w:ind w:left="5220" w:hanging="360"/>
      </w:pPr>
      <w:rPr>
        <w:rFonts w:ascii="Times New Roman" w:eastAsia="Times New Roman" w:hAnsi="Times New Roman" w:cs="Times New Roman" w:hint="default"/>
      </w:r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15:restartNumberingAfterBreak="0">
    <w:nsid w:val="008179C7"/>
    <w:multiLevelType w:val="multilevel"/>
    <w:tmpl w:val="8A988CAE"/>
    <w:lvl w:ilvl="0">
      <w:start w:val="12"/>
      <w:numFmt w:val="decimal"/>
      <w:lvlText w:val="%1"/>
      <w:lvlJc w:val="left"/>
      <w:pPr>
        <w:tabs>
          <w:tab w:val="num" w:pos="375"/>
        </w:tabs>
        <w:ind w:left="375" w:hanging="375"/>
      </w:pPr>
      <w:rPr>
        <w:rFonts w:hint="default"/>
        <w:b/>
      </w:rPr>
    </w:lvl>
    <w:lvl w:ilvl="1">
      <w:start w:val="1"/>
      <w:numFmt w:val="decimal"/>
      <w:lvlText w:val="13.%2."/>
      <w:lvlJc w:val="left"/>
      <w:pPr>
        <w:tabs>
          <w:tab w:val="num" w:pos="567"/>
        </w:tabs>
        <w:ind w:left="567" w:hanging="567"/>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4820CB8"/>
    <w:multiLevelType w:val="hybridMultilevel"/>
    <w:tmpl w:val="1EE8331C"/>
    <w:lvl w:ilvl="0" w:tplc="292AA93E">
      <w:start w:val="5"/>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04C771DA"/>
    <w:multiLevelType w:val="hybridMultilevel"/>
    <w:tmpl w:val="92AA08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247369"/>
    <w:multiLevelType w:val="multilevel"/>
    <w:tmpl w:val="0C92980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94C624D"/>
    <w:multiLevelType w:val="hybridMultilevel"/>
    <w:tmpl w:val="ECB2F83E"/>
    <w:lvl w:ilvl="0" w:tplc="493E3300">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A6E5752"/>
    <w:multiLevelType w:val="hybridMultilevel"/>
    <w:tmpl w:val="40C8CCC4"/>
    <w:lvl w:ilvl="0" w:tplc="3BDA91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983CD3"/>
    <w:multiLevelType w:val="hybridMultilevel"/>
    <w:tmpl w:val="4058D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0B17C5"/>
    <w:multiLevelType w:val="multilevel"/>
    <w:tmpl w:val="937A18D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24053C4"/>
    <w:multiLevelType w:val="multilevel"/>
    <w:tmpl w:val="1FE263F0"/>
    <w:lvl w:ilvl="0">
      <w:start w:val="10"/>
      <w:numFmt w:val="decimal"/>
      <w:lvlText w:val="%1"/>
      <w:lvlJc w:val="left"/>
      <w:pPr>
        <w:ind w:hanging="545"/>
      </w:pPr>
      <w:rPr>
        <w:rFonts w:hint="default"/>
      </w:rPr>
    </w:lvl>
    <w:lvl w:ilvl="1">
      <w:start w:val="3"/>
      <w:numFmt w:val="decimal"/>
      <w:lvlText w:val="%1.%2."/>
      <w:lvlJc w:val="left"/>
      <w:pPr>
        <w:ind w:hanging="545"/>
      </w:pPr>
      <w:rPr>
        <w:rFonts w:ascii="Times New Roman" w:eastAsia="Times New Roman" w:hAnsi="Times New Roman" w:hint="default"/>
        <w:b/>
        <w:bCs/>
        <w:w w:val="99"/>
        <w:sz w:val="24"/>
        <w:szCs w:val="24"/>
      </w:rPr>
    </w:lvl>
    <w:lvl w:ilvl="2">
      <w:start w:val="1"/>
      <w:numFmt w:val="decimal"/>
      <w:lvlText w:val="%1.%2.%3."/>
      <w:lvlJc w:val="left"/>
      <w:pPr>
        <w:ind w:hanging="720"/>
      </w:pPr>
      <w:rPr>
        <w:rFonts w:ascii="Times New Roman" w:eastAsia="Times New Roman" w:hAnsi="Times New Roman" w:hint="default"/>
        <w:b/>
        <w:bCs/>
        <w:w w:val="99"/>
        <w:sz w:val="24"/>
        <w:szCs w:val="24"/>
      </w:rPr>
    </w:lvl>
    <w:lvl w:ilvl="3">
      <w:start w:val="1"/>
      <w:numFmt w:val="lowerLetter"/>
      <w:lvlText w:val="%4)"/>
      <w:lvlJc w:val="left"/>
      <w:pPr>
        <w:ind w:hanging="360"/>
      </w:pPr>
      <w:rPr>
        <w:rFonts w:ascii="Times New Roman" w:eastAsia="Times New Roman" w:hAnsi="Times New Roman" w:hint="default"/>
        <w:b/>
        <w:bCs/>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16864EDF"/>
    <w:multiLevelType w:val="hybridMultilevel"/>
    <w:tmpl w:val="E7B49112"/>
    <w:lvl w:ilvl="0" w:tplc="9182CE0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16C00723"/>
    <w:multiLevelType w:val="multilevel"/>
    <w:tmpl w:val="DBD62930"/>
    <w:lvl w:ilvl="0">
      <w:start w:val="9"/>
      <w:numFmt w:val="decimal"/>
      <w:lvlText w:val="%1"/>
      <w:lvlJc w:val="left"/>
      <w:pPr>
        <w:ind w:left="125" w:hanging="433"/>
      </w:pPr>
      <w:rPr>
        <w:rFonts w:hint="default"/>
        <w:lang w:val="tr-TR" w:eastAsia="en-US" w:bidi="ar-SA"/>
      </w:rPr>
    </w:lvl>
    <w:lvl w:ilvl="1">
      <w:start w:val="1"/>
      <w:numFmt w:val="decimal"/>
      <w:lvlText w:val="%1.%2."/>
      <w:lvlJc w:val="left"/>
      <w:pPr>
        <w:ind w:left="125" w:hanging="433"/>
      </w:pPr>
      <w:rPr>
        <w:rFonts w:ascii="Times New Roman" w:eastAsia="Times New Roman" w:hAnsi="Times New Roman" w:cs="Times New Roman" w:hint="default"/>
        <w:b/>
        <w:bCs/>
        <w:spacing w:val="0"/>
        <w:w w:val="100"/>
        <w:sz w:val="24"/>
        <w:szCs w:val="24"/>
        <w:lang w:val="tr-TR" w:eastAsia="en-US" w:bidi="ar-SA"/>
      </w:rPr>
    </w:lvl>
    <w:lvl w:ilvl="2">
      <w:numFmt w:val="bullet"/>
      <w:lvlText w:val="•"/>
      <w:lvlJc w:val="left"/>
      <w:pPr>
        <w:ind w:left="2108" w:hanging="433"/>
      </w:pPr>
      <w:rPr>
        <w:rFonts w:hint="default"/>
        <w:lang w:val="tr-TR" w:eastAsia="en-US" w:bidi="ar-SA"/>
      </w:rPr>
    </w:lvl>
    <w:lvl w:ilvl="3">
      <w:numFmt w:val="bullet"/>
      <w:lvlText w:val="•"/>
      <w:lvlJc w:val="left"/>
      <w:pPr>
        <w:ind w:left="3103" w:hanging="433"/>
      </w:pPr>
      <w:rPr>
        <w:rFonts w:hint="default"/>
        <w:lang w:val="tr-TR" w:eastAsia="en-US" w:bidi="ar-SA"/>
      </w:rPr>
    </w:lvl>
    <w:lvl w:ilvl="4">
      <w:numFmt w:val="bullet"/>
      <w:lvlText w:val="•"/>
      <w:lvlJc w:val="left"/>
      <w:pPr>
        <w:ind w:left="4097" w:hanging="433"/>
      </w:pPr>
      <w:rPr>
        <w:rFonts w:hint="default"/>
        <w:lang w:val="tr-TR" w:eastAsia="en-US" w:bidi="ar-SA"/>
      </w:rPr>
    </w:lvl>
    <w:lvl w:ilvl="5">
      <w:numFmt w:val="bullet"/>
      <w:lvlText w:val="•"/>
      <w:lvlJc w:val="left"/>
      <w:pPr>
        <w:ind w:left="5092" w:hanging="433"/>
      </w:pPr>
      <w:rPr>
        <w:rFonts w:hint="default"/>
        <w:lang w:val="tr-TR" w:eastAsia="en-US" w:bidi="ar-SA"/>
      </w:rPr>
    </w:lvl>
    <w:lvl w:ilvl="6">
      <w:numFmt w:val="bullet"/>
      <w:lvlText w:val="•"/>
      <w:lvlJc w:val="left"/>
      <w:pPr>
        <w:ind w:left="6086" w:hanging="433"/>
      </w:pPr>
      <w:rPr>
        <w:rFonts w:hint="default"/>
        <w:lang w:val="tr-TR" w:eastAsia="en-US" w:bidi="ar-SA"/>
      </w:rPr>
    </w:lvl>
    <w:lvl w:ilvl="7">
      <w:numFmt w:val="bullet"/>
      <w:lvlText w:val="•"/>
      <w:lvlJc w:val="left"/>
      <w:pPr>
        <w:ind w:left="7080" w:hanging="433"/>
      </w:pPr>
      <w:rPr>
        <w:rFonts w:hint="default"/>
        <w:lang w:val="tr-TR" w:eastAsia="en-US" w:bidi="ar-SA"/>
      </w:rPr>
    </w:lvl>
    <w:lvl w:ilvl="8">
      <w:numFmt w:val="bullet"/>
      <w:lvlText w:val="•"/>
      <w:lvlJc w:val="left"/>
      <w:pPr>
        <w:ind w:left="8075" w:hanging="433"/>
      </w:pPr>
      <w:rPr>
        <w:rFonts w:hint="default"/>
        <w:lang w:val="tr-TR" w:eastAsia="en-US" w:bidi="ar-SA"/>
      </w:rPr>
    </w:lvl>
  </w:abstractNum>
  <w:abstractNum w:abstractNumId="12" w15:restartNumberingAfterBreak="0">
    <w:nsid w:val="1943512F"/>
    <w:multiLevelType w:val="hybridMultilevel"/>
    <w:tmpl w:val="04A2F904"/>
    <w:lvl w:ilvl="0" w:tplc="827AFE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A8F1A9C"/>
    <w:multiLevelType w:val="hybridMultilevel"/>
    <w:tmpl w:val="250C9FCC"/>
    <w:lvl w:ilvl="0" w:tplc="041F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93054"/>
    <w:multiLevelType w:val="hybridMultilevel"/>
    <w:tmpl w:val="5832EF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B3F3B72"/>
    <w:multiLevelType w:val="hybridMultilevel"/>
    <w:tmpl w:val="AED6E0B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00246A"/>
    <w:multiLevelType w:val="hybridMultilevel"/>
    <w:tmpl w:val="4BDA4A0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27FBA"/>
    <w:multiLevelType w:val="hybridMultilevel"/>
    <w:tmpl w:val="C0E815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B5F5F70"/>
    <w:multiLevelType w:val="hybridMultilevel"/>
    <w:tmpl w:val="2A184948"/>
    <w:lvl w:ilvl="0" w:tplc="DFB496FE">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BEB5458"/>
    <w:multiLevelType w:val="hybridMultilevel"/>
    <w:tmpl w:val="C128CE8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CDE63CA"/>
    <w:multiLevelType w:val="hybridMultilevel"/>
    <w:tmpl w:val="F4BA2134"/>
    <w:lvl w:ilvl="0" w:tplc="041F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384196"/>
    <w:multiLevelType w:val="hybridMultilevel"/>
    <w:tmpl w:val="D3E22CE2"/>
    <w:lvl w:ilvl="0" w:tplc="66460BD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7C7571A"/>
    <w:multiLevelType w:val="multilevel"/>
    <w:tmpl w:val="937A18D6"/>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7F07D9F"/>
    <w:multiLevelType w:val="hybridMultilevel"/>
    <w:tmpl w:val="3308357A"/>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6635D"/>
    <w:multiLevelType w:val="multilevel"/>
    <w:tmpl w:val="937A18D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88A0FB0"/>
    <w:multiLevelType w:val="hybridMultilevel"/>
    <w:tmpl w:val="17B2722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922C9E"/>
    <w:multiLevelType w:val="hybridMultilevel"/>
    <w:tmpl w:val="97B2ED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305287D"/>
    <w:multiLevelType w:val="hybridMultilevel"/>
    <w:tmpl w:val="92847A4C"/>
    <w:lvl w:ilvl="0" w:tplc="FD64795C">
      <w:start w:val="1"/>
      <w:numFmt w:val="decimal"/>
      <w:lvlText w:val="%1."/>
      <w:lvlJc w:val="left"/>
      <w:pPr>
        <w:tabs>
          <w:tab w:val="num" w:pos="720"/>
        </w:tabs>
        <w:ind w:left="720" w:hanging="360"/>
      </w:pPr>
      <w:rPr>
        <w:b/>
      </w:rPr>
    </w:lvl>
    <w:lvl w:ilvl="1" w:tplc="3512451C">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3273ADD"/>
    <w:multiLevelType w:val="hybridMultilevel"/>
    <w:tmpl w:val="F5F08A7E"/>
    <w:lvl w:ilvl="0" w:tplc="041F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0B1EFC"/>
    <w:multiLevelType w:val="multilevel"/>
    <w:tmpl w:val="937A18D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E1F0A99"/>
    <w:multiLevelType w:val="singleLevel"/>
    <w:tmpl w:val="8BD4CFA4"/>
    <w:lvl w:ilvl="0">
      <w:start w:val="10"/>
      <w:numFmt w:val="upperRoman"/>
      <w:lvlText w:val=""/>
      <w:lvlJc w:val="left"/>
      <w:pPr>
        <w:tabs>
          <w:tab w:val="num" w:pos="649"/>
        </w:tabs>
        <w:ind w:left="649" w:hanging="360"/>
      </w:pPr>
      <w:rPr>
        <w:rFonts w:hint="default"/>
        <w:b/>
      </w:rPr>
    </w:lvl>
  </w:abstractNum>
  <w:abstractNum w:abstractNumId="31" w15:restartNumberingAfterBreak="0">
    <w:nsid w:val="5ED30EAF"/>
    <w:multiLevelType w:val="multilevel"/>
    <w:tmpl w:val="2DD247F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F5E68DA"/>
    <w:multiLevelType w:val="multilevel"/>
    <w:tmpl w:val="CF0A52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2B57893"/>
    <w:multiLevelType w:val="hybridMultilevel"/>
    <w:tmpl w:val="5DA027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6DD0957"/>
    <w:multiLevelType w:val="hybridMultilevel"/>
    <w:tmpl w:val="EBF4AD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9164CA9"/>
    <w:multiLevelType w:val="hybridMultilevel"/>
    <w:tmpl w:val="0B864FA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9DA2128"/>
    <w:multiLevelType w:val="hybridMultilevel"/>
    <w:tmpl w:val="B4D62596"/>
    <w:lvl w:ilvl="0" w:tplc="DB76C694">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7384722D"/>
    <w:multiLevelType w:val="hybridMultilevel"/>
    <w:tmpl w:val="09CC4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56358B"/>
    <w:multiLevelType w:val="hybridMultilevel"/>
    <w:tmpl w:val="43BCCF76"/>
    <w:lvl w:ilvl="0" w:tplc="360A756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77336CE"/>
    <w:multiLevelType w:val="hybridMultilevel"/>
    <w:tmpl w:val="55AC031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E803C70"/>
    <w:multiLevelType w:val="multilevel"/>
    <w:tmpl w:val="F190A59A"/>
    <w:lvl w:ilvl="0">
      <w:start w:val="1"/>
      <w:numFmt w:val="decimal"/>
      <w:lvlText w:val="%1."/>
      <w:lvlJc w:val="left"/>
      <w:pPr>
        <w:tabs>
          <w:tab w:val="num" w:pos="720"/>
        </w:tabs>
        <w:ind w:left="720" w:hanging="360"/>
      </w:pPr>
      <w:rPr>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15:restartNumberingAfterBreak="0">
    <w:nsid w:val="7F844647"/>
    <w:multiLevelType w:val="hybridMultilevel"/>
    <w:tmpl w:val="C25618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771708323">
    <w:abstractNumId w:val="30"/>
  </w:num>
  <w:num w:numId="2" w16cid:durableId="467093423">
    <w:abstractNumId w:val="33"/>
  </w:num>
  <w:num w:numId="3" w16cid:durableId="2027630104">
    <w:abstractNumId w:val="35"/>
  </w:num>
  <w:num w:numId="4" w16cid:durableId="453788523">
    <w:abstractNumId w:val="39"/>
  </w:num>
  <w:num w:numId="5" w16cid:durableId="1365863473">
    <w:abstractNumId w:val="3"/>
  </w:num>
  <w:num w:numId="6" w16cid:durableId="470907130">
    <w:abstractNumId w:val="27"/>
  </w:num>
  <w:num w:numId="7" w16cid:durableId="1562329522">
    <w:abstractNumId w:val="19"/>
  </w:num>
  <w:num w:numId="8" w16cid:durableId="2064058360">
    <w:abstractNumId w:val="26"/>
  </w:num>
  <w:num w:numId="9" w16cid:durableId="82920567">
    <w:abstractNumId w:val="40"/>
  </w:num>
  <w:num w:numId="10" w16cid:durableId="591471222">
    <w:abstractNumId w:val="14"/>
  </w:num>
  <w:num w:numId="11" w16cid:durableId="1107969542">
    <w:abstractNumId w:val="41"/>
  </w:num>
  <w:num w:numId="12" w16cid:durableId="1945072890">
    <w:abstractNumId w:val="17"/>
  </w:num>
  <w:num w:numId="13" w16cid:durableId="1664159555">
    <w:abstractNumId w:val="18"/>
  </w:num>
  <w:num w:numId="14" w16cid:durableId="984625268">
    <w:abstractNumId w:val="34"/>
  </w:num>
  <w:num w:numId="15" w16cid:durableId="114914354">
    <w:abstractNumId w:val="5"/>
  </w:num>
  <w:num w:numId="16" w16cid:durableId="729428901">
    <w:abstractNumId w:val="9"/>
  </w:num>
  <w:num w:numId="17" w16cid:durableId="1835945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9641214">
    <w:abstractNumId w:val="37"/>
  </w:num>
  <w:num w:numId="19" w16cid:durableId="1905791655">
    <w:abstractNumId w:val="32"/>
  </w:num>
  <w:num w:numId="20" w16cid:durableId="656301251">
    <w:abstractNumId w:val="4"/>
  </w:num>
  <w:num w:numId="21" w16cid:durableId="1785732280">
    <w:abstractNumId w:val="0"/>
  </w:num>
  <w:num w:numId="22" w16cid:durableId="508906557">
    <w:abstractNumId w:val="36"/>
  </w:num>
  <w:num w:numId="23" w16cid:durableId="1767074971">
    <w:abstractNumId w:val="12"/>
  </w:num>
  <w:num w:numId="24" w16cid:durableId="1593657282">
    <w:abstractNumId w:val="31"/>
  </w:num>
  <w:num w:numId="25" w16cid:durableId="443967897">
    <w:abstractNumId w:val="1"/>
  </w:num>
  <w:num w:numId="26" w16cid:durableId="1704818804">
    <w:abstractNumId w:val="22"/>
  </w:num>
  <w:num w:numId="27" w16cid:durableId="2100056608">
    <w:abstractNumId w:val="24"/>
  </w:num>
  <w:num w:numId="28" w16cid:durableId="1415009621">
    <w:abstractNumId w:val="8"/>
  </w:num>
  <w:num w:numId="29" w16cid:durableId="1072193193">
    <w:abstractNumId w:val="29"/>
  </w:num>
  <w:num w:numId="30" w16cid:durableId="16273907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5283704">
    <w:abstractNumId w:val="15"/>
  </w:num>
  <w:num w:numId="32" w16cid:durableId="1086852253">
    <w:abstractNumId w:val="38"/>
  </w:num>
  <w:num w:numId="33" w16cid:durableId="798109652">
    <w:abstractNumId w:val="2"/>
  </w:num>
  <w:num w:numId="34" w16cid:durableId="1344551547">
    <w:abstractNumId w:val="6"/>
  </w:num>
  <w:num w:numId="35" w16cid:durableId="8069680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3097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8342235">
    <w:abstractNumId w:val="23"/>
  </w:num>
  <w:num w:numId="38" w16cid:durableId="638730414">
    <w:abstractNumId w:val="13"/>
  </w:num>
  <w:num w:numId="39" w16cid:durableId="128398407">
    <w:abstractNumId w:val="16"/>
  </w:num>
  <w:num w:numId="40" w16cid:durableId="422458976">
    <w:abstractNumId w:val="28"/>
  </w:num>
  <w:num w:numId="41" w16cid:durableId="1865971811">
    <w:abstractNumId w:val="20"/>
  </w:num>
  <w:num w:numId="42" w16cid:durableId="1067220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45398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CC"/>
    <w:rsid w:val="000102C1"/>
    <w:rsid w:val="00030F33"/>
    <w:rsid w:val="0004614A"/>
    <w:rsid w:val="0005493B"/>
    <w:rsid w:val="000B425C"/>
    <w:rsid w:val="000C443B"/>
    <w:rsid w:val="001510E7"/>
    <w:rsid w:val="001519D6"/>
    <w:rsid w:val="00152507"/>
    <w:rsid w:val="001843E8"/>
    <w:rsid w:val="00186B1A"/>
    <w:rsid w:val="001B0E3E"/>
    <w:rsid w:val="001C57E9"/>
    <w:rsid w:val="001D3A9C"/>
    <w:rsid w:val="001E5BE8"/>
    <w:rsid w:val="001F0A9D"/>
    <w:rsid w:val="001F4FB8"/>
    <w:rsid w:val="00221936"/>
    <w:rsid w:val="00251425"/>
    <w:rsid w:val="0027453A"/>
    <w:rsid w:val="002A30A0"/>
    <w:rsid w:val="002C54DD"/>
    <w:rsid w:val="002C640E"/>
    <w:rsid w:val="002E4EB6"/>
    <w:rsid w:val="003207D8"/>
    <w:rsid w:val="00327E44"/>
    <w:rsid w:val="00343A46"/>
    <w:rsid w:val="00357B33"/>
    <w:rsid w:val="003D39CB"/>
    <w:rsid w:val="003F6421"/>
    <w:rsid w:val="00443313"/>
    <w:rsid w:val="004510F7"/>
    <w:rsid w:val="004820DF"/>
    <w:rsid w:val="004B73CF"/>
    <w:rsid w:val="004F03B2"/>
    <w:rsid w:val="004F2883"/>
    <w:rsid w:val="005039BC"/>
    <w:rsid w:val="00514473"/>
    <w:rsid w:val="0056451B"/>
    <w:rsid w:val="00571AC5"/>
    <w:rsid w:val="00576E87"/>
    <w:rsid w:val="00596DCC"/>
    <w:rsid w:val="005B5CCF"/>
    <w:rsid w:val="005B6D9C"/>
    <w:rsid w:val="005C3931"/>
    <w:rsid w:val="00605AEC"/>
    <w:rsid w:val="00616F05"/>
    <w:rsid w:val="00630F87"/>
    <w:rsid w:val="00631A95"/>
    <w:rsid w:val="00665A6D"/>
    <w:rsid w:val="00672296"/>
    <w:rsid w:val="00675D60"/>
    <w:rsid w:val="006C4639"/>
    <w:rsid w:val="006C7305"/>
    <w:rsid w:val="006E0F46"/>
    <w:rsid w:val="006E1196"/>
    <w:rsid w:val="006F74DD"/>
    <w:rsid w:val="00710585"/>
    <w:rsid w:val="00710953"/>
    <w:rsid w:val="00711227"/>
    <w:rsid w:val="007155F1"/>
    <w:rsid w:val="00757F0B"/>
    <w:rsid w:val="0076572C"/>
    <w:rsid w:val="007A2179"/>
    <w:rsid w:val="007A42AA"/>
    <w:rsid w:val="007B414A"/>
    <w:rsid w:val="007F73C0"/>
    <w:rsid w:val="008023BC"/>
    <w:rsid w:val="008123B2"/>
    <w:rsid w:val="0082720D"/>
    <w:rsid w:val="00833085"/>
    <w:rsid w:val="00881D8D"/>
    <w:rsid w:val="008C00C3"/>
    <w:rsid w:val="008C055E"/>
    <w:rsid w:val="008C4BA1"/>
    <w:rsid w:val="008C60BD"/>
    <w:rsid w:val="008C7D07"/>
    <w:rsid w:val="008D5B3E"/>
    <w:rsid w:val="008E6289"/>
    <w:rsid w:val="008F1E2D"/>
    <w:rsid w:val="008F5CA5"/>
    <w:rsid w:val="009033C7"/>
    <w:rsid w:val="0095398C"/>
    <w:rsid w:val="00965546"/>
    <w:rsid w:val="009879A3"/>
    <w:rsid w:val="009B5D3C"/>
    <w:rsid w:val="009D7853"/>
    <w:rsid w:val="00A361DB"/>
    <w:rsid w:val="00A4368D"/>
    <w:rsid w:val="00A514AB"/>
    <w:rsid w:val="00A62434"/>
    <w:rsid w:val="00A6777C"/>
    <w:rsid w:val="00A761C0"/>
    <w:rsid w:val="00AB1AC5"/>
    <w:rsid w:val="00AB2993"/>
    <w:rsid w:val="00AE62D0"/>
    <w:rsid w:val="00AF3F5F"/>
    <w:rsid w:val="00B04F93"/>
    <w:rsid w:val="00B061FA"/>
    <w:rsid w:val="00B14DE0"/>
    <w:rsid w:val="00B227E7"/>
    <w:rsid w:val="00B233A8"/>
    <w:rsid w:val="00B70088"/>
    <w:rsid w:val="00B72C49"/>
    <w:rsid w:val="00B7517F"/>
    <w:rsid w:val="00BC7F1F"/>
    <w:rsid w:val="00BE1599"/>
    <w:rsid w:val="00BF15F4"/>
    <w:rsid w:val="00C006A4"/>
    <w:rsid w:val="00C03BEA"/>
    <w:rsid w:val="00C14F18"/>
    <w:rsid w:val="00C40EC9"/>
    <w:rsid w:val="00C54BC3"/>
    <w:rsid w:val="00C64C5F"/>
    <w:rsid w:val="00C86FA8"/>
    <w:rsid w:val="00CF6647"/>
    <w:rsid w:val="00D04F24"/>
    <w:rsid w:val="00D068D2"/>
    <w:rsid w:val="00D121FA"/>
    <w:rsid w:val="00D50771"/>
    <w:rsid w:val="00D7466A"/>
    <w:rsid w:val="00D74A10"/>
    <w:rsid w:val="00DD1181"/>
    <w:rsid w:val="00DE1305"/>
    <w:rsid w:val="00E01374"/>
    <w:rsid w:val="00E02C3D"/>
    <w:rsid w:val="00E13A95"/>
    <w:rsid w:val="00E13C9C"/>
    <w:rsid w:val="00E43B74"/>
    <w:rsid w:val="00E516BC"/>
    <w:rsid w:val="00E53EA0"/>
    <w:rsid w:val="00E750A5"/>
    <w:rsid w:val="00E95F1C"/>
    <w:rsid w:val="00ED2F1F"/>
    <w:rsid w:val="00F067A6"/>
    <w:rsid w:val="00F96D61"/>
    <w:rsid w:val="00FB4820"/>
    <w:rsid w:val="00FC2DA7"/>
    <w:rsid w:val="00FC6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E8E5"/>
  <w15:docId w15:val="{BD860609-A180-4FE8-9C83-6E40D2F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A8"/>
    <w:pPr>
      <w:spacing w:after="0" w:line="240" w:lineRule="auto"/>
      <w:jc w:val="both"/>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B233A8"/>
    <w:pPr>
      <w:keepNext/>
      <w:outlineLvl w:val="0"/>
    </w:pPr>
    <w:rPr>
      <w:rFonts w:cs="Arial"/>
      <w:b/>
      <w:bCs/>
      <w:sz w:val="32"/>
      <w:szCs w:val="32"/>
    </w:rPr>
  </w:style>
  <w:style w:type="paragraph" w:styleId="Heading2">
    <w:name w:val="heading 2"/>
    <w:basedOn w:val="Normal"/>
    <w:next w:val="Normal"/>
    <w:link w:val="Heading2Char"/>
    <w:qFormat/>
    <w:rsid w:val="00B233A8"/>
    <w:pPr>
      <w:keepNext/>
      <w:outlineLvl w:val="1"/>
    </w:pPr>
    <w:rPr>
      <w:rFonts w:cs="Arial"/>
      <w:b/>
      <w:bCs/>
      <w:iCs/>
      <w:sz w:val="28"/>
      <w:szCs w:val="28"/>
    </w:rPr>
  </w:style>
  <w:style w:type="paragraph" w:styleId="Heading3">
    <w:name w:val="heading 3"/>
    <w:basedOn w:val="Normal"/>
    <w:next w:val="Normal"/>
    <w:link w:val="Heading3Char"/>
    <w:qFormat/>
    <w:rsid w:val="00B233A8"/>
    <w:pPr>
      <w:keepNext/>
      <w:outlineLvl w:val="2"/>
    </w:pPr>
    <w:rPr>
      <w:rFonts w:cs="Arial"/>
      <w:b/>
      <w:bCs/>
      <w:sz w:val="26"/>
      <w:szCs w:val="26"/>
    </w:rPr>
  </w:style>
  <w:style w:type="paragraph" w:styleId="Heading4">
    <w:name w:val="heading 4"/>
    <w:basedOn w:val="Normal"/>
    <w:next w:val="Normal"/>
    <w:link w:val="Heading4Char"/>
    <w:qFormat/>
    <w:rsid w:val="00B233A8"/>
    <w:pPr>
      <w:keepNext/>
      <w:outlineLvl w:val="3"/>
    </w:pPr>
    <w:rPr>
      <w:b/>
    </w:rPr>
  </w:style>
  <w:style w:type="paragraph" w:styleId="Heading5">
    <w:name w:val="heading 5"/>
    <w:basedOn w:val="Normal"/>
    <w:next w:val="Normal"/>
    <w:link w:val="Heading5Char"/>
    <w:qFormat/>
    <w:rsid w:val="00B233A8"/>
    <w:pPr>
      <w:keepNext/>
      <w:outlineLvl w:val="4"/>
    </w:pPr>
  </w:style>
  <w:style w:type="paragraph" w:styleId="Heading7">
    <w:name w:val="heading 7"/>
    <w:basedOn w:val="Normal"/>
    <w:next w:val="Normal"/>
    <w:link w:val="Heading7Char"/>
    <w:qFormat/>
    <w:rsid w:val="00B233A8"/>
    <w:pPr>
      <w:keepNext/>
      <w:spacing w:line="280" w:lineRule="atLeast"/>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3A8"/>
    <w:rPr>
      <w:rFonts w:ascii="Times New Roman" w:eastAsia="Times New Roman" w:hAnsi="Times New Roman" w:cs="Arial"/>
      <w:b/>
      <w:bCs/>
      <w:sz w:val="32"/>
      <w:szCs w:val="32"/>
      <w:lang w:eastAsia="tr-TR"/>
    </w:rPr>
  </w:style>
  <w:style w:type="character" w:customStyle="1" w:styleId="Heading2Char">
    <w:name w:val="Heading 2 Char"/>
    <w:basedOn w:val="DefaultParagraphFont"/>
    <w:link w:val="Heading2"/>
    <w:rsid w:val="00B233A8"/>
    <w:rPr>
      <w:rFonts w:ascii="Times New Roman" w:eastAsia="Times New Roman" w:hAnsi="Times New Roman" w:cs="Arial"/>
      <w:b/>
      <w:bCs/>
      <w:iCs/>
      <w:sz w:val="28"/>
      <w:szCs w:val="28"/>
      <w:lang w:eastAsia="tr-TR"/>
    </w:rPr>
  </w:style>
  <w:style w:type="character" w:customStyle="1" w:styleId="Heading3Char">
    <w:name w:val="Heading 3 Char"/>
    <w:basedOn w:val="DefaultParagraphFont"/>
    <w:link w:val="Heading3"/>
    <w:rsid w:val="00B233A8"/>
    <w:rPr>
      <w:rFonts w:ascii="Times New Roman" w:eastAsia="Times New Roman" w:hAnsi="Times New Roman" w:cs="Arial"/>
      <w:b/>
      <w:bCs/>
      <w:sz w:val="26"/>
      <w:szCs w:val="26"/>
      <w:lang w:eastAsia="tr-TR"/>
    </w:rPr>
  </w:style>
  <w:style w:type="character" w:customStyle="1" w:styleId="Heading4Char">
    <w:name w:val="Heading 4 Char"/>
    <w:basedOn w:val="DefaultParagraphFont"/>
    <w:link w:val="Heading4"/>
    <w:rsid w:val="00B233A8"/>
    <w:rPr>
      <w:rFonts w:ascii="Times New Roman" w:eastAsia="Times New Roman" w:hAnsi="Times New Roman" w:cs="Times New Roman"/>
      <w:b/>
      <w:sz w:val="24"/>
      <w:szCs w:val="24"/>
      <w:lang w:eastAsia="tr-TR"/>
    </w:rPr>
  </w:style>
  <w:style w:type="character" w:customStyle="1" w:styleId="Heading5Char">
    <w:name w:val="Heading 5 Char"/>
    <w:basedOn w:val="DefaultParagraphFont"/>
    <w:link w:val="Heading5"/>
    <w:rsid w:val="00B233A8"/>
    <w:rPr>
      <w:rFonts w:ascii="Times New Roman" w:eastAsia="Times New Roman" w:hAnsi="Times New Roman" w:cs="Times New Roman"/>
      <w:sz w:val="24"/>
      <w:szCs w:val="24"/>
      <w:lang w:eastAsia="tr-TR"/>
    </w:rPr>
  </w:style>
  <w:style w:type="character" w:customStyle="1" w:styleId="Heading7Char">
    <w:name w:val="Heading 7 Char"/>
    <w:basedOn w:val="DefaultParagraphFont"/>
    <w:link w:val="Heading7"/>
    <w:rsid w:val="00B233A8"/>
    <w:rPr>
      <w:rFonts w:ascii="Times New Roman" w:eastAsia="Times New Roman" w:hAnsi="Times New Roman" w:cs="Times New Roman"/>
      <w:b/>
      <w:sz w:val="18"/>
      <w:szCs w:val="24"/>
      <w:lang w:eastAsia="tr-TR"/>
    </w:rPr>
  </w:style>
  <w:style w:type="table" w:styleId="TableGrid">
    <w:name w:val="Table Grid"/>
    <w:basedOn w:val="TableNormal"/>
    <w:uiPriority w:val="39"/>
    <w:rsid w:val="00B233A8"/>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233A8"/>
    <w:rPr>
      <w:sz w:val="16"/>
      <w:szCs w:val="16"/>
    </w:rPr>
  </w:style>
  <w:style w:type="paragraph" w:styleId="CommentText">
    <w:name w:val="annotation text"/>
    <w:basedOn w:val="Normal"/>
    <w:link w:val="CommentTextChar"/>
    <w:semiHidden/>
    <w:rsid w:val="00B233A8"/>
    <w:rPr>
      <w:sz w:val="20"/>
      <w:szCs w:val="20"/>
    </w:rPr>
  </w:style>
  <w:style w:type="character" w:customStyle="1" w:styleId="CommentTextChar">
    <w:name w:val="Comment Text Char"/>
    <w:basedOn w:val="DefaultParagraphFont"/>
    <w:link w:val="CommentText"/>
    <w:semiHidden/>
    <w:rsid w:val="00B233A8"/>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semiHidden/>
    <w:rsid w:val="00B233A8"/>
    <w:rPr>
      <w:b/>
      <w:bCs/>
    </w:rPr>
  </w:style>
  <w:style w:type="character" w:customStyle="1" w:styleId="CommentSubjectChar">
    <w:name w:val="Comment Subject Char"/>
    <w:basedOn w:val="CommentTextChar"/>
    <w:link w:val="CommentSubject"/>
    <w:semiHidden/>
    <w:rsid w:val="00B233A8"/>
    <w:rPr>
      <w:rFonts w:ascii="Times New Roman" w:eastAsia="Times New Roman" w:hAnsi="Times New Roman" w:cs="Times New Roman"/>
      <w:b/>
      <w:bCs/>
      <w:sz w:val="20"/>
      <w:szCs w:val="20"/>
      <w:lang w:eastAsia="tr-TR"/>
    </w:rPr>
  </w:style>
  <w:style w:type="paragraph" w:styleId="BalloonText">
    <w:name w:val="Balloon Text"/>
    <w:basedOn w:val="Normal"/>
    <w:link w:val="BalloonTextChar"/>
    <w:semiHidden/>
    <w:rsid w:val="00B233A8"/>
    <w:rPr>
      <w:rFonts w:ascii="Tahoma" w:hAnsi="Tahoma" w:cs="Tahoma"/>
      <w:sz w:val="16"/>
      <w:szCs w:val="16"/>
    </w:rPr>
  </w:style>
  <w:style w:type="character" w:customStyle="1" w:styleId="BalloonTextChar">
    <w:name w:val="Balloon Text Char"/>
    <w:basedOn w:val="DefaultParagraphFont"/>
    <w:link w:val="BalloonText"/>
    <w:semiHidden/>
    <w:rsid w:val="00B233A8"/>
    <w:rPr>
      <w:rFonts w:ascii="Tahoma" w:eastAsia="Times New Roman" w:hAnsi="Tahoma" w:cs="Tahoma"/>
      <w:sz w:val="16"/>
      <w:szCs w:val="16"/>
      <w:lang w:eastAsia="tr-TR"/>
    </w:rPr>
  </w:style>
  <w:style w:type="character" w:customStyle="1" w:styleId="DocumentMapChar">
    <w:name w:val="Document Map Char"/>
    <w:basedOn w:val="DefaultParagraphFont"/>
    <w:link w:val="DocumentMap"/>
    <w:semiHidden/>
    <w:rsid w:val="00B233A8"/>
    <w:rPr>
      <w:rFonts w:ascii="Tahoma" w:eastAsia="Times New Roman" w:hAnsi="Tahoma" w:cs="Tahoma"/>
      <w:sz w:val="20"/>
      <w:szCs w:val="20"/>
      <w:shd w:val="clear" w:color="auto" w:fill="000080"/>
      <w:lang w:eastAsia="tr-TR"/>
    </w:rPr>
  </w:style>
  <w:style w:type="paragraph" w:styleId="DocumentMap">
    <w:name w:val="Document Map"/>
    <w:basedOn w:val="Normal"/>
    <w:link w:val="DocumentMapChar"/>
    <w:semiHidden/>
    <w:rsid w:val="00B233A8"/>
    <w:pPr>
      <w:shd w:val="clear" w:color="auto" w:fill="000080"/>
    </w:pPr>
    <w:rPr>
      <w:rFonts w:ascii="Tahoma" w:hAnsi="Tahoma" w:cs="Tahoma"/>
      <w:sz w:val="20"/>
      <w:szCs w:val="20"/>
    </w:rPr>
  </w:style>
  <w:style w:type="paragraph" w:styleId="Header">
    <w:name w:val="header"/>
    <w:basedOn w:val="Normal"/>
    <w:link w:val="HeaderChar"/>
    <w:rsid w:val="00B233A8"/>
    <w:pPr>
      <w:tabs>
        <w:tab w:val="center" w:pos="4536"/>
        <w:tab w:val="right" w:pos="9072"/>
      </w:tabs>
    </w:pPr>
  </w:style>
  <w:style w:type="character" w:customStyle="1" w:styleId="HeaderChar">
    <w:name w:val="Header Char"/>
    <w:basedOn w:val="DefaultParagraphFont"/>
    <w:link w:val="Header"/>
    <w:rsid w:val="00B233A8"/>
    <w:rPr>
      <w:rFonts w:ascii="Times New Roman" w:eastAsia="Times New Roman" w:hAnsi="Times New Roman" w:cs="Times New Roman"/>
      <w:sz w:val="24"/>
      <w:szCs w:val="24"/>
      <w:lang w:eastAsia="tr-TR"/>
    </w:rPr>
  </w:style>
  <w:style w:type="paragraph" w:styleId="Footer">
    <w:name w:val="footer"/>
    <w:basedOn w:val="Normal"/>
    <w:link w:val="FooterChar"/>
    <w:rsid w:val="00B233A8"/>
    <w:pPr>
      <w:tabs>
        <w:tab w:val="center" w:pos="4536"/>
        <w:tab w:val="right" w:pos="9072"/>
      </w:tabs>
    </w:pPr>
  </w:style>
  <w:style w:type="character" w:customStyle="1" w:styleId="FooterChar">
    <w:name w:val="Footer Char"/>
    <w:basedOn w:val="DefaultParagraphFont"/>
    <w:link w:val="Footer"/>
    <w:rsid w:val="00B233A8"/>
    <w:rPr>
      <w:rFonts w:ascii="Times New Roman" w:eastAsia="Times New Roman" w:hAnsi="Times New Roman" w:cs="Times New Roman"/>
      <w:sz w:val="24"/>
      <w:szCs w:val="24"/>
      <w:lang w:eastAsia="tr-TR"/>
    </w:rPr>
  </w:style>
  <w:style w:type="paragraph" w:styleId="EndnoteText">
    <w:name w:val="endnote text"/>
    <w:basedOn w:val="Normal"/>
    <w:link w:val="EndnoteTextChar"/>
    <w:semiHidden/>
    <w:rsid w:val="00B233A8"/>
    <w:rPr>
      <w:sz w:val="20"/>
      <w:szCs w:val="20"/>
    </w:rPr>
  </w:style>
  <w:style w:type="character" w:customStyle="1" w:styleId="EndnoteTextChar">
    <w:name w:val="Endnote Text Char"/>
    <w:basedOn w:val="DefaultParagraphFont"/>
    <w:link w:val="EndnoteText"/>
    <w:semiHidden/>
    <w:rsid w:val="00B233A8"/>
    <w:rPr>
      <w:rFonts w:ascii="Times New Roman" w:eastAsia="Times New Roman" w:hAnsi="Times New Roman" w:cs="Times New Roman"/>
      <w:sz w:val="20"/>
      <w:szCs w:val="20"/>
      <w:lang w:eastAsia="tr-TR"/>
    </w:rPr>
  </w:style>
  <w:style w:type="paragraph" w:styleId="FootnoteText">
    <w:name w:val="footnote text"/>
    <w:basedOn w:val="Normal"/>
    <w:link w:val="FootnoteTextChar"/>
    <w:uiPriority w:val="99"/>
    <w:semiHidden/>
    <w:rsid w:val="00B233A8"/>
    <w:rPr>
      <w:sz w:val="20"/>
      <w:szCs w:val="20"/>
    </w:rPr>
  </w:style>
  <w:style w:type="character" w:customStyle="1" w:styleId="FootnoteTextChar">
    <w:name w:val="Footnote Text Char"/>
    <w:basedOn w:val="DefaultParagraphFont"/>
    <w:link w:val="FootnoteText"/>
    <w:uiPriority w:val="99"/>
    <w:semiHidden/>
    <w:rsid w:val="00B233A8"/>
    <w:rPr>
      <w:rFonts w:ascii="Times New Roman" w:eastAsia="Times New Roman" w:hAnsi="Times New Roman" w:cs="Times New Roman"/>
      <w:sz w:val="20"/>
      <w:szCs w:val="20"/>
      <w:lang w:eastAsia="tr-TR"/>
    </w:rPr>
  </w:style>
  <w:style w:type="character" w:styleId="FootnoteReference">
    <w:name w:val="footnote reference"/>
    <w:uiPriority w:val="99"/>
    <w:rsid w:val="00B233A8"/>
    <w:rPr>
      <w:vertAlign w:val="superscript"/>
    </w:rPr>
  </w:style>
  <w:style w:type="character" w:styleId="Hyperlink">
    <w:name w:val="Hyperlink"/>
    <w:uiPriority w:val="99"/>
    <w:rsid w:val="00B233A8"/>
    <w:rPr>
      <w:color w:val="0000FF"/>
      <w:u w:val="single"/>
    </w:rPr>
  </w:style>
  <w:style w:type="paragraph" w:customStyle="1" w:styleId="Default">
    <w:name w:val="Default"/>
    <w:rsid w:val="00B233A8"/>
    <w:pPr>
      <w:widowControl w:val="0"/>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ListParagraph">
    <w:name w:val="List Paragraph"/>
    <w:basedOn w:val="Normal"/>
    <w:uiPriority w:val="99"/>
    <w:qFormat/>
    <w:rsid w:val="00B233A8"/>
    <w:pPr>
      <w:ind w:left="708"/>
    </w:pPr>
  </w:style>
  <w:style w:type="paragraph" w:styleId="BodyText">
    <w:name w:val="Body Text"/>
    <w:basedOn w:val="Normal"/>
    <w:link w:val="BodyTextChar"/>
    <w:uiPriority w:val="1"/>
    <w:qFormat/>
    <w:rsid w:val="00B233A8"/>
    <w:pPr>
      <w:widowControl w:val="0"/>
      <w:ind w:left="538"/>
      <w:jc w:val="left"/>
    </w:pPr>
    <w:rPr>
      <w:lang w:val="en-US" w:eastAsia="en-US"/>
    </w:rPr>
  </w:style>
  <w:style w:type="character" w:customStyle="1" w:styleId="BodyTextChar">
    <w:name w:val="Body Text Char"/>
    <w:basedOn w:val="DefaultParagraphFont"/>
    <w:link w:val="BodyText"/>
    <w:uiPriority w:val="1"/>
    <w:rsid w:val="00B233A8"/>
    <w:rPr>
      <w:rFonts w:ascii="Times New Roman" w:eastAsia="Times New Roman" w:hAnsi="Times New Roman" w:cs="Times New Roman"/>
      <w:sz w:val="24"/>
      <w:szCs w:val="24"/>
      <w:lang w:val="en-US"/>
    </w:rPr>
  </w:style>
  <w:style w:type="paragraph" w:customStyle="1" w:styleId="GvdeMetni31">
    <w:name w:val="Gövde Metni 31"/>
    <w:basedOn w:val="Default"/>
    <w:next w:val="Default"/>
    <w:rsid w:val="00B233A8"/>
    <w:pPr>
      <w:widowControl/>
    </w:pPr>
    <w:rPr>
      <w:rFonts w:ascii="Times New Roman" w:hAnsi="Times New Roman" w:cs="Times New Roman"/>
      <w:color w:val="auto"/>
    </w:rPr>
  </w:style>
  <w:style w:type="character" w:customStyle="1" w:styleId="BodyTextIndent3Char">
    <w:name w:val="Body Text Indent 3 Char"/>
    <w:basedOn w:val="DefaultParagraphFont"/>
    <w:link w:val="BodyTextIndent3"/>
    <w:semiHidden/>
    <w:rsid w:val="00B233A8"/>
    <w:rPr>
      <w:rFonts w:ascii="Times New Roman" w:eastAsia="Times New Roman" w:hAnsi="Times New Roman" w:cs="Times New Roman"/>
      <w:sz w:val="16"/>
      <w:szCs w:val="16"/>
      <w:lang w:eastAsia="tr-TR"/>
    </w:rPr>
  </w:style>
  <w:style w:type="paragraph" w:styleId="BodyTextIndent3">
    <w:name w:val="Body Text Indent 3"/>
    <w:basedOn w:val="Normal"/>
    <w:link w:val="BodyTextIndent3Char"/>
    <w:semiHidden/>
    <w:unhideWhenUsed/>
    <w:rsid w:val="00B233A8"/>
    <w:pPr>
      <w:spacing w:after="120"/>
      <w:ind w:left="283"/>
    </w:pPr>
    <w:rPr>
      <w:sz w:val="16"/>
      <w:szCs w:val="16"/>
    </w:rPr>
  </w:style>
  <w:style w:type="paragraph" w:customStyle="1" w:styleId="3-NormalYaz">
    <w:name w:val="3-Normal Yazı"/>
    <w:basedOn w:val="Normal"/>
    <w:uiPriority w:val="99"/>
    <w:rsid w:val="00B233A8"/>
    <w:rPr>
      <w:rFonts w:eastAsia="Calibri"/>
      <w:sz w:val="19"/>
      <w:szCs w:val="19"/>
    </w:rPr>
  </w:style>
  <w:style w:type="character" w:customStyle="1" w:styleId="apple-converted-space">
    <w:name w:val="apple-converted-space"/>
    <w:basedOn w:val="DefaultParagraphFont"/>
    <w:rsid w:val="00B233A8"/>
  </w:style>
  <w:style w:type="paragraph" w:styleId="BodyTextIndent">
    <w:name w:val="Body Text Indent"/>
    <w:basedOn w:val="Normal"/>
    <w:link w:val="BodyTextIndentChar"/>
    <w:unhideWhenUsed/>
    <w:rsid w:val="00B233A8"/>
    <w:pPr>
      <w:spacing w:after="120"/>
      <w:ind w:left="283"/>
    </w:pPr>
  </w:style>
  <w:style w:type="character" w:customStyle="1" w:styleId="BodyTextIndentChar">
    <w:name w:val="Body Text Indent Char"/>
    <w:basedOn w:val="DefaultParagraphFont"/>
    <w:link w:val="BodyTextIndent"/>
    <w:rsid w:val="00B233A8"/>
    <w:rPr>
      <w:rFonts w:ascii="Times New Roman" w:eastAsia="Times New Roman" w:hAnsi="Times New Roman" w:cs="Times New Roman"/>
      <w:sz w:val="24"/>
      <w:szCs w:val="24"/>
      <w:lang w:eastAsia="tr-TR"/>
    </w:rPr>
  </w:style>
  <w:style w:type="table" w:customStyle="1" w:styleId="TabloKlavuzu1">
    <w:name w:val="Tablo Kılavuzu1"/>
    <w:basedOn w:val="TableNormal"/>
    <w:next w:val="TableGrid"/>
    <w:uiPriority w:val="39"/>
    <w:rsid w:val="00AF3F5F"/>
    <w:pPr>
      <w:spacing w:after="0" w:line="240" w:lineRule="auto"/>
      <w:jc w:val="both"/>
    </w:pPr>
    <w:rPr>
      <w:rFonts w:ascii="Times New Roman" w:eastAsiaTheme="minorEastAsia"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1F0A9D"/>
    <w:pPr>
      <w:spacing w:after="0" w:line="240" w:lineRule="auto"/>
      <w:jc w:val="both"/>
    </w:pPr>
    <w:rPr>
      <w:rFonts w:ascii="Times New Roman" w:eastAsiaTheme="minorEastAsia"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0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5887">
      <w:bodyDiv w:val="1"/>
      <w:marLeft w:val="0"/>
      <w:marRight w:val="0"/>
      <w:marTop w:val="0"/>
      <w:marBottom w:val="0"/>
      <w:divBdr>
        <w:top w:val="none" w:sz="0" w:space="0" w:color="auto"/>
        <w:left w:val="none" w:sz="0" w:space="0" w:color="auto"/>
        <w:bottom w:val="none" w:sz="0" w:space="0" w:color="auto"/>
        <w:right w:val="none" w:sz="0" w:space="0" w:color="auto"/>
      </w:divBdr>
    </w:div>
    <w:div w:id="1075780092">
      <w:bodyDiv w:val="1"/>
      <w:marLeft w:val="0"/>
      <w:marRight w:val="0"/>
      <w:marTop w:val="0"/>
      <w:marBottom w:val="0"/>
      <w:divBdr>
        <w:top w:val="none" w:sz="0" w:space="0" w:color="auto"/>
        <w:left w:val="none" w:sz="0" w:space="0" w:color="auto"/>
        <w:bottom w:val="none" w:sz="0" w:space="0" w:color="auto"/>
        <w:right w:val="none" w:sz="0" w:space="0" w:color="auto"/>
      </w:divBdr>
    </w:div>
    <w:div w:id="1099525315">
      <w:bodyDiv w:val="1"/>
      <w:marLeft w:val="0"/>
      <w:marRight w:val="0"/>
      <w:marTop w:val="0"/>
      <w:marBottom w:val="0"/>
      <w:divBdr>
        <w:top w:val="none" w:sz="0" w:space="0" w:color="auto"/>
        <w:left w:val="none" w:sz="0" w:space="0" w:color="auto"/>
        <w:bottom w:val="none" w:sz="0" w:space="0" w:color="auto"/>
        <w:right w:val="none" w:sz="0" w:space="0" w:color="auto"/>
      </w:divBdr>
    </w:div>
    <w:div w:id="20699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efportfoy.com" TargetMode="External"/><Relationship Id="rId13" Type="http://schemas.openxmlformats.org/officeDocument/2006/relationships/hyperlink" Target="http://www.denizbank.com" TargetMode="External"/><Relationship Id="rId18" Type="http://schemas.openxmlformats.org/officeDocument/2006/relationships/hyperlink" Target="http://www.gib.gov.t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edefportfoy.com" TargetMode="External"/><Relationship Id="rId17" Type="http://schemas.openxmlformats.org/officeDocument/2006/relationships/hyperlink" Target="http://www.kap.org.tr" TargetMode="External"/><Relationship Id="rId2" Type="http://schemas.openxmlformats.org/officeDocument/2006/relationships/numbering" Target="numbering.xml"/><Relationship Id="rId16" Type="http://schemas.openxmlformats.org/officeDocument/2006/relationships/hyperlink" Target="http://www.takasbank.com.tr/tr/Sayfalar/TEFAS-Uyeler.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p.org.tr" TargetMode="External"/><Relationship Id="rId5" Type="http://schemas.openxmlformats.org/officeDocument/2006/relationships/webSettings" Target="webSettings.xml"/><Relationship Id="rId15" Type="http://schemas.openxmlformats.org/officeDocument/2006/relationships/hyperlink" Target="http://www.kap.org.tr" TargetMode="External"/><Relationship Id="rId23" Type="http://schemas.openxmlformats.org/officeDocument/2006/relationships/theme" Target="theme/theme1.xml"/><Relationship Id="rId10" Type="http://schemas.openxmlformats.org/officeDocument/2006/relationships/hyperlink" Target="http://www.kap.org.tr" TargetMode="External"/><Relationship Id="rId19" Type="http://schemas.openxmlformats.org/officeDocument/2006/relationships/hyperlink" Target="http://www.kap.org.tr" TargetMode="External"/><Relationship Id="rId4" Type="http://schemas.openxmlformats.org/officeDocument/2006/relationships/settings" Target="settings.xml"/><Relationship Id="rId9" Type="http://schemas.openxmlformats.org/officeDocument/2006/relationships/hyperlink" Target="http://www.kap.org.tr" TargetMode="External"/><Relationship Id="rId14" Type="http://schemas.openxmlformats.org/officeDocument/2006/relationships/hyperlink" Target="http://www.kap.org.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9549-5727-465C-AEF9-BF4B0B2A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5200</Words>
  <Characters>29644</Characters>
  <Application>Microsoft Office Word</Application>
  <DocSecurity>0</DocSecurity>
  <Lines>247</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TÜRKEN</dc:creator>
  <cp:lastModifiedBy>Fatih POLAT</cp:lastModifiedBy>
  <cp:revision>3</cp:revision>
  <cp:lastPrinted>2020-09-09T12:00:00Z</cp:lastPrinted>
  <dcterms:created xsi:type="dcterms:W3CDTF">2023-10-31T13:17:00Z</dcterms:created>
  <dcterms:modified xsi:type="dcterms:W3CDTF">2023-10-31T13:25:00Z</dcterms:modified>
</cp:coreProperties>
</file>